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2341" w:rsidRPr="00CA60F9" w:rsidRDefault="00F05070" w:rsidP="00777CC5">
      <w:pPr>
        <w:rPr>
          <w:rFonts w:ascii="Arial Black" w:hAnsi="Arial Black"/>
          <w:b/>
        </w:rPr>
      </w:pPr>
      <w:r>
        <w:rPr>
          <w:noProof/>
          <w:lang w:eastAsia="en-GB"/>
        </w:rPr>
        <w:drawing>
          <wp:inline distT="0" distB="0" distL="0" distR="0" wp14:anchorId="0B9B08E9" wp14:editId="55B17975">
            <wp:extent cx="2009775" cy="495300"/>
            <wp:effectExtent l="0" t="0" r="9525" b="0"/>
            <wp:docPr id="1" name="Picture 1" descr="Harrow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rrow Council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09775" cy="495300"/>
                    </a:xfrm>
                    <a:prstGeom prst="rect">
                      <a:avLst/>
                    </a:prstGeom>
                    <a:noFill/>
                    <a:ln>
                      <a:noFill/>
                    </a:ln>
                  </pic:spPr>
                </pic:pic>
              </a:graphicData>
            </a:graphic>
          </wp:inline>
        </w:drawing>
      </w:r>
    </w:p>
    <w:tbl>
      <w:tblPr>
        <w:tblW w:w="3130" w:type="dxa"/>
        <w:tblInd w:w="59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30"/>
      </w:tblGrid>
      <w:tr w:rsidR="00A71F05" w:rsidTr="00345B33">
        <w:trPr>
          <w:trHeight w:val="777"/>
        </w:trPr>
        <w:tc>
          <w:tcPr>
            <w:tcW w:w="3130" w:type="dxa"/>
          </w:tcPr>
          <w:p w:rsidR="00A71F05" w:rsidRPr="00085B3D" w:rsidRDefault="00A71F05" w:rsidP="00D4290D">
            <w:pPr>
              <w:pStyle w:val="Heading8"/>
              <w:rPr>
                <w:rFonts w:ascii="Arial" w:hAnsi="Arial" w:cs="Arial"/>
                <w:i w:val="0"/>
                <w:iCs w:val="0"/>
              </w:rPr>
            </w:pPr>
            <w:r w:rsidRPr="00CF184E">
              <w:rPr>
                <w:rFonts w:ascii="Arial Black" w:hAnsi="Arial Black"/>
                <w:i w:val="0"/>
                <w:iCs w:val="0"/>
              </w:rPr>
              <w:t>Ref</w:t>
            </w:r>
            <w:r w:rsidRPr="00CF184E">
              <w:rPr>
                <w:rFonts w:ascii="Arial Black" w:hAnsi="Arial Black"/>
              </w:rPr>
              <w:t xml:space="preserve"> </w:t>
            </w:r>
            <w:r w:rsidRPr="00CF184E">
              <w:rPr>
                <w:rFonts w:ascii="Arial Black" w:hAnsi="Arial Black"/>
                <w:i w:val="0"/>
                <w:iCs w:val="0"/>
              </w:rPr>
              <w:t>PHD</w:t>
            </w:r>
            <w:r>
              <w:rPr>
                <w:i w:val="0"/>
                <w:iCs w:val="0"/>
              </w:rPr>
              <w:t xml:space="preserve"> </w:t>
            </w:r>
            <w:r w:rsidR="00085B3D" w:rsidRPr="00085B3D">
              <w:rPr>
                <w:rFonts w:ascii="Arial" w:hAnsi="Arial" w:cs="Arial"/>
                <w:i w:val="0"/>
                <w:iCs w:val="0"/>
              </w:rPr>
              <w:t>021-19-20</w:t>
            </w:r>
          </w:p>
          <w:p w:rsidR="00A71F05" w:rsidRDefault="00A71F05" w:rsidP="00D4290D">
            <w:pPr>
              <w:rPr>
                <w:i/>
              </w:rPr>
            </w:pPr>
          </w:p>
        </w:tc>
      </w:tr>
    </w:tbl>
    <w:p w:rsidR="00A71F05" w:rsidRDefault="00A71F05" w:rsidP="00A71F05"/>
    <w:tbl>
      <w:tblPr>
        <w:tblW w:w="9084" w:type="dxa"/>
        <w:tblLayout w:type="fixed"/>
        <w:tblCellMar>
          <w:left w:w="115" w:type="dxa"/>
          <w:right w:w="115" w:type="dxa"/>
        </w:tblCellMar>
        <w:tblLook w:val="0000" w:firstRow="0" w:lastRow="0" w:firstColumn="0" w:lastColumn="0" w:noHBand="0" w:noVBand="0"/>
      </w:tblPr>
      <w:tblGrid>
        <w:gridCol w:w="7"/>
        <w:gridCol w:w="3467"/>
        <w:gridCol w:w="5058"/>
        <w:gridCol w:w="552"/>
      </w:tblGrid>
      <w:tr w:rsidR="00A71F05" w:rsidRPr="007D7E0B" w:rsidTr="00345B33">
        <w:tc>
          <w:tcPr>
            <w:tcW w:w="3474" w:type="dxa"/>
            <w:gridSpan w:val="2"/>
            <w:tcBorders>
              <w:bottom w:val="single" w:sz="18" w:space="0" w:color="auto"/>
            </w:tcBorders>
          </w:tcPr>
          <w:p w:rsidR="00A71F05" w:rsidRPr="003F7AEE" w:rsidRDefault="00A71F05" w:rsidP="00D4290D">
            <w:pPr>
              <w:rPr>
                <w:rFonts w:ascii="Arial Black" w:hAnsi="Arial Black" w:cs="Arial"/>
                <w:color w:val="999999"/>
                <w:sz w:val="36"/>
                <w:szCs w:val="36"/>
              </w:rPr>
            </w:pPr>
            <w:r w:rsidRPr="003F7AEE">
              <w:rPr>
                <w:rFonts w:ascii="Arial Black" w:hAnsi="Arial Black" w:cs="Arial"/>
                <w:color w:val="999999"/>
                <w:sz w:val="36"/>
                <w:szCs w:val="36"/>
              </w:rPr>
              <w:t>REPORT FOR:</w:t>
            </w:r>
          </w:p>
          <w:p w:rsidR="00A71F05" w:rsidRPr="00E026EE" w:rsidRDefault="00A71F05" w:rsidP="00D4290D">
            <w:pPr>
              <w:rPr>
                <w:rFonts w:ascii="Arial Black" w:hAnsi="Arial Black" w:cs="Arial"/>
                <w:sz w:val="36"/>
                <w:szCs w:val="36"/>
              </w:rPr>
            </w:pPr>
          </w:p>
        </w:tc>
        <w:tc>
          <w:tcPr>
            <w:tcW w:w="5610" w:type="dxa"/>
            <w:gridSpan w:val="2"/>
            <w:tcBorders>
              <w:bottom w:val="single" w:sz="18" w:space="0" w:color="auto"/>
            </w:tcBorders>
          </w:tcPr>
          <w:p w:rsidR="00A71F05" w:rsidRDefault="00CD15A0" w:rsidP="00D4290D">
            <w:pPr>
              <w:rPr>
                <w:rFonts w:ascii="Arial Black" w:hAnsi="Arial Black" w:cs="Arial"/>
                <w:sz w:val="36"/>
                <w:szCs w:val="36"/>
              </w:rPr>
            </w:pPr>
            <w:r>
              <w:rPr>
                <w:rFonts w:ascii="Arial Black" w:hAnsi="Arial Black" w:cs="Arial"/>
                <w:sz w:val="36"/>
                <w:szCs w:val="36"/>
              </w:rPr>
              <w:t>Decision by Leader of the Council</w:t>
            </w:r>
          </w:p>
          <w:p w:rsidR="001E347C" w:rsidRPr="00E026EE" w:rsidRDefault="001E347C" w:rsidP="00D4290D">
            <w:pPr>
              <w:rPr>
                <w:rFonts w:ascii="Arial Black" w:hAnsi="Arial Black" w:cs="Arial"/>
                <w:sz w:val="36"/>
                <w:szCs w:val="36"/>
              </w:rPr>
            </w:pPr>
          </w:p>
        </w:tc>
      </w:tr>
      <w:tr w:rsidR="00A71F05" w:rsidRPr="007D7E0B" w:rsidTr="00345B33">
        <w:tc>
          <w:tcPr>
            <w:tcW w:w="3474" w:type="dxa"/>
            <w:gridSpan w:val="2"/>
          </w:tcPr>
          <w:p w:rsidR="00A71F05" w:rsidRPr="007D7E0B" w:rsidRDefault="00A71F05" w:rsidP="00D4290D">
            <w:pPr>
              <w:pStyle w:val="Infotext"/>
              <w:rPr>
                <w:rFonts w:ascii="Arial Black" w:hAnsi="Arial Black" w:cs="Arial"/>
              </w:rPr>
            </w:pPr>
            <w:r w:rsidRPr="007D7E0B">
              <w:rPr>
                <w:rFonts w:ascii="Arial Black" w:hAnsi="Arial Black" w:cs="Arial"/>
              </w:rPr>
              <w:t>Subject:</w:t>
            </w:r>
          </w:p>
          <w:p w:rsidR="00A71F05" w:rsidRPr="007D7E0B" w:rsidRDefault="00A71F05" w:rsidP="00D4290D">
            <w:pPr>
              <w:pStyle w:val="Infotext"/>
              <w:rPr>
                <w:rFonts w:ascii="Arial Black" w:hAnsi="Arial Black"/>
              </w:rPr>
            </w:pPr>
          </w:p>
        </w:tc>
        <w:tc>
          <w:tcPr>
            <w:tcW w:w="5610" w:type="dxa"/>
            <w:gridSpan w:val="2"/>
          </w:tcPr>
          <w:p w:rsidR="00A71F05" w:rsidRPr="00596DDC" w:rsidRDefault="00345B33" w:rsidP="00A71F05">
            <w:pPr>
              <w:rPr>
                <w:rFonts w:ascii="Arial Black" w:hAnsi="Arial Black" w:cs="Arial"/>
                <w:szCs w:val="24"/>
              </w:rPr>
            </w:pPr>
            <w:r>
              <w:rPr>
                <w:rFonts w:ascii="Arial Black" w:hAnsi="Arial Black" w:cs="Arial"/>
                <w:szCs w:val="24"/>
              </w:rPr>
              <w:t>Temporary Additional Funding to Providers for C</w:t>
            </w:r>
            <w:r w:rsidR="00143499">
              <w:rPr>
                <w:rFonts w:ascii="Arial Black" w:hAnsi="Arial Black" w:cs="Arial"/>
                <w:szCs w:val="24"/>
              </w:rPr>
              <w:t>OVID</w:t>
            </w:r>
            <w:bookmarkStart w:id="0" w:name="_GoBack"/>
            <w:bookmarkEnd w:id="0"/>
            <w:r>
              <w:rPr>
                <w:rFonts w:ascii="Arial Black" w:hAnsi="Arial Black" w:cs="Arial"/>
                <w:szCs w:val="24"/>
              </w:rPr>
              <w:t xml:space="preserve"> Related Costs</w:t>
            </w:r>
          </w:p>
          <w:p w:rsidR="00A71F05" w:rsidRPr="00596DDC" w:rsidRDefault="00A71F05" w:rsidP="00345B33">
            <w:pPr>
              <w:pStyle w:val="Infotext"/>
              <w:rPr>
                <w:rFonts w:cs="Arial"/>
                <w:sz w:val="24"/>
                <w:szCs w:val="24"/>
              </w:rPr>
            </w:pPr>
          </w:p>
        </w:tc>
      </w:tr>
      <w:tr w:rsidR="00A71F05" w:rsidTr="00345B33">
        <w:tc>
          <w:tcPr>
            <w:tcW w:w="3474" w:type="dxa"/>
            <w:gridSpan w:val="2"/>
            <w:tcBorders>
              <w:top w:val="single" w:sz="18" w:space="0" w:color="auto"/>
            </w:tcBorders>
          </w:tcPr>
          <w:p w:rsidR="00A71F05" w:rsidRPr="00CF184E" w:rsidRDefault="00A71F05" w:rsidP="00D4290D">
            <w:pPr>
              <w:rPr>
                <w:rFonts w:ascii="Arial Black" w:hAnsi="Arial Black" w:cs="Arial"/>
                <w:sz w:val="28"/>
              </w:rPr>
            </w:pPr>
            <w:r w:rsidRPr="00CF184E">
              <w:rPr>
                <w:rFonts w:ascii="Arial Black" w:hAnsi="Arial Black" w:cs="Arial"/>
                <w:sz w:val="28"/>
              </w:rPr>
              <w:t>Responsible Officer:</w:t>
            </w:r>
          </w:p>
          <w:p w:rsidR="00A71F05" w:rsidRPr="00CF184E" w:rsidRDefault="00A71F05" w:rsidP="00D4290D">
            <w:pPr>
              <w:rPr>
                <w:rFonts w:ascii="Arial Black" w:hAnsi="Arial Black" w:cs="Arial"/>
                <w:sz w:val="28"/>
              </w:rPr>
            </w:pPr>
          </w:p>
        </w:tc>
        <w:tc>
          <w:tcPr>
            <w:tcW w:w="5610" w:type="dxa"/>
            <w:gridSpan w:val="2"/>
            <w:tcBorders>
              <w:top w:val="single" w:sz="18" w:space="0" w:color="auto"/>
            </w:tcBorders>
          </w:tcPr>
          <w:p w:rsidR="00A71F05" w:rsidRDefault="00345B33" w:rsidP="00345B33">
            <w:pPr>
              <w:pStyle w:val="Infotext"/>
              <w:rPr>
                <w:rFonts w:cs="Arial"/>
                <w:sz w:val="24"/>
                <w:szCs w:val="24"/>
              </w:rPr>
            </w:pPr>
            <w:r>
              <w:rPr>
                <w:rFonts w:cs="Arial"/>
                <w:sz w:val="24"/>
                <w:szCs w:val="24"/>
              </w:rPr>
              <w:t xml:space="preserve">Paul Hewitt, Corporate Director People Services </w:t>
            </w:r>
          </w:p>
          <w:p w:rsidR="00345B33" w:rsidRPr="00596DDC" w:rsidRDefault="00345B33" w:rsidP="00345B33">
            <w:pPr>
              <w:pStyle w:val="Infotext"/>
              <w:rPr>
                <w:rFonts w:cs="Arial"/>
                <w:sz w:val="24"/>
                <w:szCs w:val="24"/>
              </w:rPr>
            </w:pPr>
          </w:p>
        </w:tc>
      </w:tr>
      <w:tr w:rsidR="00A71F05" w:rsidTr="00345B33">
        <w:tc>
          <w:tcPr>
            <w:tcW w:w="3474" w:type="dxa"/>
            <w:gridSpan w:val="2"/>
          </w:tcPr>
          <w:p w:rsidR="00A71F05" w:rsidRPr="00CF184E" w:rsidRDefault="00A71F05" w:rsidP="00D4290D">
            <w:pPr>
              <w:rPr>
                <w:rFonts w:ascii="Arial Black" w:hAnsi="Arial Black" w:cs="Arial"/>
                <w:sz w:val="28"/>
              </w:rPr>
            </w:pPr>
            <w:r w:rsidRPr="00CF184E">
              <w:rPr>
                <w:rFonts w:ascii="Arial Black" w:hAnsi="Arial Black" w:cs="Arial"/>
                <w:sz w:val="28"/>
              </w:rPr>
              <w:t>Portfolio Holder:</w:t>
            </w:r>
          </w:p>
          <w:p w:rsidR="00A71F05" w:rsidRPr="00CF184E" w:rsidRDefault="00A71F05" w:rsidP="00D4290D">
            <w:pPr>
              <w:rPr>
                <w:rFonts w:ascii="Arial Black" w:hAnsi="Arial Black" w:cs="Arial"/>
                <w:sz w:val="28"/>
              </w:rPr>
            </w:pPr>
          </w:p>
        </w:tc>
        <w:tc>
          <w:tcPr>
            <w:tcW w:w="5610" w:type="dxa"/>
            <w:gridSpan w:val="2"/>
          </w:tcPr>
          <w:p w:rsidR="00345B33" w:rsidRPr="00B75297" w:rsidRDefault="00345B33" w:rsidP="00345B33">
            <w:pPr>
              <w:ind w:hanging="4"/>
              <w:rPr>
                <w:szCs w:val="24"/>
              </w:rPr>
            </w:pPr>
            <w:r>
              <w:rPr>
                <w:szCs w:val="24"/>
              </w:rPr>
              <w:t>Councillor Graham Henson</w:t>
            </w:r>
            <w:r w:rsidRPr="00596DDC">
              <w:rPr>
                <w:rFonts w:cs="Arial"/>
                <w:szCs w:val="24"/>
              </w:rPr>
              <w:t xml:space="preserve"> </w:t>
            </w:r>
            <w:r w:rsidR="0084204B" w:rsidRPr="00596DDC">
              <w:rPr>
                <w:rFonts w:cs="Arial"/>
                <w:szCs w:val="24"/>
              </w:rPr>
              <w:t xml:space="preserve">Leader </w:t>
            </w:r>
            <w:r w:rsidRPr="00B75297">
              <w:rPr>
                <w:bCs/>
              </w:rPr>
              <w:t>Strategy, Partnerships</w:t>
            </w:r>
            <w:r>
              <w:rPr>
                <w:bCs/>
              </w:rPr>
              <w:t>,</w:t>
            </w:r>
            <w:r w:rsidRPr="00B75297">
              <w:rPr>
                <w:bCs/>
              </w:rPr>
              <w:t xml:space="preserve"> Devolution</w:t>
            </w:r>
            <w:r>
              <w:rPr>
                <w:bCs/>
              </w:rPr>
              <w:t xml:space="preserve"> &amp; Customer Services</w:t>
            </w:r>
          </w:p>
          <w:p w:rsidR="00A71F05" w:rsidRPr="00596DDC" w:rsidRDefault="00A71F05" w:rsidP="00D4290D">
            <w:pPr>
              <w:rPr>
                <w:rFonts w:cs="Arial"/>
                <w:szCs w:val="24"/>
              </w:rPr>
            </w:pPr>
          </w:p>
        </w:tc>
      </w:tr>
      <w:tr w:rsidR="00A71F05" w:rsidRPr="007D7E0B" w:rsidTr="00345B33">
        <w:tc>
          <w:tcPr>
            <w:tcW w:w="3474" w:type="dxa"/>
            <w:gridSpan w:val="2"/>
          </w:tcPr>
          <w:p w:rsidR="00A71F05" w:rsidRPr="007D7E0B" w:rsidRDefault="00A71F05" w:rsidP="00D4290D">
            <w:pPr>
              <w:pStyle w:val="Infotext"/>
              <w:rPr>
                <w:rFonts w:ascii="Arial Black" w:hAnsi="Arial Black" w:cs="Arial"/>
              </w:rPr>
            </w:pPr>
            <w:r w:rsidRPr="007D7E0B">
              <w:rPr>
                <w:rFonts w:ascii="Arial Black" w:hAnsi="Arial Black" w:cs="Arial"/>
              </w:rPr>
              <w:t>Key Decision:</w:t>
            </w:r>
          </w:p>
        </w:tc>
        <w:tc>
          <w:tcPr>
            <w:tcW w:w="5610" w:type="dxa"/>
            <w:gridSpan w:val="2"/>
          </w:tcPr>
          <w:p w:rsidR="00A71F05" w:rsidRPr="00596DDC" w:rsidRDefault="00A71F05" w:rsidP="00D4290D">
            <w:pPr>
              <w:pStyle w:val="Infotext"/>
              <w:rPr>
                <w:rFonts w:cs="Arial"/>
                <w:sz w:val="24"/>
                <w:szCs w:val="24"/>
              </w:rPr>
            </w:pPr>
            <w:r w:rsidRPr="00596DDC">
              <w:rPr>
                <w:rFonts w:cs="Arial"/>
                <w:sz w:val="24"/>
                <w:szCs w:val="24"/>
              </w:rPr>
              <w:t>Yes</w:t>
            </w:r>
          </w:p>
          <w:p w:rsidR="00A71F05" w:rsidRPr="00345B33" w:rsidRDefault="00345B33" w:rsidP="00D4290D">
            <w:pPr>
              <w:pStyle w:val="Infotext"/>
              <w:rPr>
                <w:rFonts w:cs="Arial"/>
                <w:sz w:val="24"/>
                <w:szCs w:val="24"/>
              </w:rPr>
            </w:pPr>
            <w:r w:rsidRPr="00345B33">
              <w:rPr>
                <w:rFonts w:cs="Arial"/>
                <w:sz w:val="24"/>
                <w:szCs w:val="24"/>
              </w:rPr>
              <w:t>Revenue expenditure in excess of £500k and effects all Wards.</w:t>
            </w:r>
          </w:p>
          <w:p w:rsidR="00A71F05" w:rsidRPr="00596DDC" w:rsidRDefault="00A71F05" w:rsidP="00D4290D">
            <w:pPr>
              <w:pStyle w:val="Infotext"/>
              <w:rPr>
                <w:rFonts w:cs="Arial"/>
                <w:sz w:val="24"/>
                <w:szCs w:val="24"/>
              </w:rPr>
            </w:pPr>
          </w:p>
        </w:tc>
      </w:tr>
      <w:tr w:rsidR="00A71F05" w:rsidTr="00345B33">
        <w:tc>
          <w:tcPr>
            <w:tcW w:w="3474" w:type="dxa"/>
            <w:gridSpan w:val="2"/>
          </w:tcPr>
          <w:p w:rsidR="00A71F05" w:rsidRPr="00CF184E" w:rsidRDefault="00A71F05" w:rsidP="00D4290D">
            <w:pPr>
              <w:rPr>
                <w:rFonts w:ascii="Arial Black" w:hAnsi="Arial Black" w:cs="Arial"/>
                <w:sz w:val="28"/>
              </w:rPr>
            </w:pPr>
            <w:r w:rsidRPr="00CF184E">
              <w:rPr>
                <w:rFonts w:ascii="Arial Black" w:hAnsi="Arial Black" w:cs="Arial"/>
                <w:sz w:val="28"/>
              </w:rPr>
              <w:t>Power to be exercised:</w:t>
            </w:r>
          </w:p>
          <w:p w:rsidR="00A71F05" w:rsidRPr="00CF184E" w:rsidRDefault="00A71F05" w:rsidP="00D4290D">
            <w:pPr>
              <w:rPr>
                <w:rFonts w:ascii="Arial Black" w:hAnsi="Arial Black" w:cs="Arial"/>
                <w:sz w:val="28"/>
              </w:rPr>
            </w:pPr>
          </w:p>
        </w:tc>
        <w:tc>
          <w:tcPr>
            <w:tcW w:w="5610" w:type="dxa"/>
            <w:gridSpan w:val="2"/>
          </w:tcPr>
          <w:p w:rsidR="00A71F05" w:rsidRPr="00596DDC" w:rsidRDefault="00964EEC" w:rsidP="00497526">
            <w:pPr>
              <w:rPr>
                <w:rFonts w:cs="Arial"/>
                <w:szCs w:val="24"/>
              </w:rPr>
            </w:pPr>
            <w:r>
              <w:rPr>
                <w:rFonts w:cs="Arial"/>
                <w:szCs w:val="24"/>
              </w:rPr>
              <w:t xml:space="preserve">Paragraph 3 to the </w:t>
            </w:r>
            <w:r w:rsidR="00A71F05" w:rsidRPr="00596DDC">
              <w:rPr>
                <w:rFonts w:cs="Arial"/>
                <w:szCs w:val="24"/>
              </w:rPr>
              <w:t xml:space="preserve">Appendix to Executive Procedure Rules </w:t>
            </w:r>
          </w:p>
        </w:tc>
      </w:tr>
      <w:tr w:rsidR="00A71F05" w:rsidTr="00345B33">
        <w:tc>
          <w:tcPr>
            <w:tcW w:w="3474" w:type="dxa"/>
            <w:gridSpan w:val="2"/>
          </w:tcPr>
          <w:p w:rsidR="00A71F05" w:rsidRPr="00CF184E" w:rsidRDefault="00A71F05" w:rsidP="00D4290D">
            <w:pPr>
              <w:pStyle w:val="Infotext"/>
              <w:rPr>
                <w:rFonts w:ascii="Arial Black" w:hAnsi="Arial Black" w:cs="Arial"/>
              </w:rPr>
            </w:pPr>
            <w:r w:rsidRPr="00CF184E">
              <w:rPr>
                <w:rFonts w:ascii="Arial Black" w:hAnsi="Arial Black" w:cs="Arial"/>
              </w:rPr>
              <w:t>Exempt:</w:t>
            </w:r>
          </w:p>
          <w:p w:rsidR="00A71F05" w:rsidRPr="00CF184E" w:rsidRDefault="00A71F05" w:rsidP="00D4290D">
            <w:pPr>
              <w:pStyle w:val="Infotext"/>
              <w:rPr>
                <w:rFonts w:ascii="Arial Black" w:hAnsi="Arial Black" w:cs="Arial"/>
              </w:rPr>
            </w:pPr>
          </w:p>
        </w:tc>
        <w:tc>
          <w:tcPr>
            <w:tcW w:w="5610" w:type="dxa"/>
            <w:gridSpan w:val="2"/>
          </w:tcPr>
          <w:p w:rsidR="00A71F05" w:rsidRPr="00596DDC" w:rsidRDefault="0058705B" w:rsidP="00D4290D">
            <w:pPr>
              <w:pStyle w:val="Infotext"/>
              <w:rPr>
                <w:rFonts w:cs="Arial"/>
                <w:sz w:val="24"/>
                <w:szCs w:val="24"/>
              </w:rPr>
            </w:pPr>
            <w:r>
              <w:rPr>
                <w:rFonts w:cs="Arial"/>
                <w:sz w:val="24"/>
                <w:szCs w:val="24"/>
              </w:rPr>
              <w:t>No</w:t>
            </w:r>
          </w:p>
          <w:p w:rsidR="00A71F05" w:rsidRPr="00596DDC" w:rsidRDefault="00A71F05" w:rsidP="0084204B">
            <w:pPr>
              <w:pStyle w:val="Infotext"/>
              <w:rPr>
                <w:rFonts w:cs="Arial"/>
                <w:sz w:val="24"/>
                <w:szCs w:val="24"/>
              </w:rPr>
            </w:pPr>
          </w:p>
        </w:tc>
      </w:tr>
      <w:tr w:rsidR="0084204B" w:rsidTr="00345B33">
        <w:tc>
          <w:tcPr>
            <w:tcW w:w="3474" w:type="dxa"/>
            <w:gridSpan w:val="2"/>
          </w:tcPr>
          <w:p w:rsidR="0084204B" w:rsidRPr="00CF184E" w:rsidRDefault="0058705B" w:rsidP="00CD7F86">
            <w:pPr>
              <w:spacing w:line="280" w:lineRule="exact"/>
              <w:rPr>
                <w:rFonts w:ascii="Arial Black" w:hAnsi="Arial Black" w:cs="Arial"/>
                <w:sz w:val="28"/>
              </w:rPr>
            </w:pPr>
            <w:r>
              <w:rPr>
                <w:rFonts w:ascii="Arial Black" w:hAnsi="Arial Black" w:cs="Arial"/>
                <w:sz w:val="28"/>
              </w:rPr>
              <w:t>Urgent</w:t>
            </w:r>
            <w:r w:rsidR="0084204B" w:rsidRPr="00CF184E">
              <w:rPr>
                <w:rFonts w:ascii="Arial Black" w:hAnsi="Arial Black" w:cs="Arial"/>
                <w:sz w:val="28"/>
              </w:rPr>
              <w:t>:</w:t>
            </w:r>
          </w:p>
          <w:p w:rsidR="0084204B" w:rsidRPr="00CF184E" w:rsidRDefault="0084204B" w:rsidP="00CD7F86">
            <w:pPr>
              <w:spacing w:line="280" w:lineRule="exact"/>
              <w:rPr>
                <w:rFonts w:ascii="Arial Black" w:hAnsi="Arial Black" w:cs="Arial"/>
                <w:sz w:val="28"/>
              </w:rPr>
            </w:pPr>
          </w:p>
        </w:tc>
        <w:tc>
          <w:tcPr>
            <w:tcW w:w="5610" w:type="dxa"/>
            <w:gridSpan w:val="2"/>
          </w:tcPr>
          <w:p w:rsidR="0084204B" w:rsidRPr="00B8683A" w:rsidRDefault="0084204B" w:rsidP="00CD7F86">
            <w:pPr>
              <w:rPr>
                <w:rFonts w:cs="Arial"/>
                <w:szCs w:val="24"/>
              </w:rPr>
            </w:pPr>
            <w:r w:rsidRPr="00596DDC">
              <w:rPr>
                <w:rFonts w:cs="Arial"/>
                <w:szCs w:val="24"/>
              </w:rPr>
              <w:t xml:space="preserve">Yes </w:t>
            </w:r>
            <w:r w:rsidR="00B8683A">
              <w:rPr>
                <w:rFonts w:cs="Arial"/>
                <w:szCs w:val="24"/>
              </w:rPr>
              <w:t>–</w:t>
            </w:r>
            <w:r w:rsidR="007537BF">
              <w:rPr>
                <w:rFonts w:cs="Arial"/>
                <w:szCs w:val="24"/>
              </w:rPr>
              <w:t xml:space="preserve"> </w:t>
            </w:r>
            <w:r w:rsidR="00B8683A" w:rsidRPr="00B8683A">
              <w:rPr>
                <w:rFonts w:cs="Arial"/>
              </w:rPr>
              <w:t>To enable the allocation of payments to Harrow’s care providers who are supporting the most vulnerable residents</w:t>
            </w:r>
            <w:r w:rsidR="00B8683A">
              <w:rPr>
                <w:rFonts w:cs="Arial"/>
              </w:rPr>
              <w:t>.</w:t>
            </w:r>
            <w:r w:rsidR="00B8683A" w:rsidRPr="00601A95">
              <w:rPr>
                <w:rFonts w:cs="Arial"/>
                <w:i/>
              </w:rPr>
              <w:t xml:space="preserve"> </w:t>
            </w:r>
            <w:r w:rsidR="00B8683A" w:rsidRPr="00B8683A">
              <w:rPr>
                <w:rFonts w:cs="Arial"/>
              </w:rPr>
              <w:t>Allocation of the funding as soon as possible will also support the NHS in terms of hospital discharges and their response to COVID 19 crisis</w:t>
            </w:r>
          </w:p>
          <w:p w:rsidR="0084204B" w:rsidRPr="00596DDC" w:rsidRDefault="0084204B" w:rsidP="00CD7F86">
            <w:pPr>
              <w:rPr>
                <w:rFonts w:cs="Arial"/>
                <w:szCs w:val="24"/>
              </w:rPr>
            </w:pPr>
          </w:p>
        </w:tc>
      </w:tr>
      <w:tr w:rsidR="00D3348C" w:rsidTr="00345B33">
        <w:tc>
          <w:tcPr>
            <w:tcW w:w="3474" w:type="dxa"/>
            <w:gridSpan w:val="2"/>
          </w:tcPr>
          <w:p w:rsidR="00D3348C" w:rsidRDefault="00D3348C" w:rsidP="00D4290D">
            <w:pPr>
              <w:pStyle w:val="Infotext"/>
              <w:rPr>
                <w:rFonts w:ascii="Arial Black" w:hAnsi="Arial Black" w:cs="Arial"/>
              </w:rPr>
            </w:pPr>
            <w:r>
              <w:rPr>
                <w:rFonts w:ascii="Arial Black" w:hAnsi="Arial Black" w:cs="Arial"/>
              </w:rPr>
              <w:t>Wards affected:</w:t>
            </w:r>
          </w:p>
          <w:p w:rsidR="00D3348C" w:rsidRPr="00CF184E" w:rsidRDefault="00D3348C" w:rsidP="00D4290D">
            <w:pPr>
              <w:pStyle w:val="Infotext"/>
              <w:rPr>
                <w:rFonts w:ascii="Arial Black" w:hAnsi="Arial Black" w:cs="Arial"/>
              </w:rPr>
            </w:pPr>
          </w:p>
        </w:tc>
        <w:tc>
          <w:tcPr>
            <w:tcW w:w="5610" w:type="dxa"/>
            <w:gridSpan w:val="2"/>
          </w:tcPr>
          <w:p w:rsidR="00D3348C" w:rsidRPr="00596DDC" w:rsidRDefault="00345B33" w:rsidP="00A1507D">
            <w:pPr>
              <w:rPr>
                <w:rFonts w:cs="Arial"/>
                <w:szCs w:val="24"/>
              </w:rPr>
            </w:pPr>
            <w:r>
              <w:rPr>
                <w:rFonts w:cs="Arial"/>
                <w:szCs w:val="24"/>
              </w:rPr>
              <w:t>All Wards</w:t>
            </w:r>
          </w:p>
        </w:tc>
      </w:tr>
      <w:tr w:rsidR="00A71F05" w:rsidTr="00345B33">
        <w:tc>
          <w:tcPr>
            <w:tcW w:w="3474" w:type="dxa"/>
            <w:gridSpan w:val="2"/>
          </w:tcPr>
          <w:p w:rsidR="00A71F05" w:rsidRPr="00CF184E" w:rsidRDefault="00A71F05" w:rsidP="00D4290D">
            <w:pPr>
              <w:pStyle w:val="Infotext"/>
              <w:rPr>
                <w:rFonts w:ascii="Arial Black" w:hAnsi="Arial Black" w:cs="Arial"/>
              </w:rPr>
            </w:pPr>
            <w:r w:rsidRPr="00CF184E">
              <w:rPr>
                <w:rFonts w:ascii="Arial Black" w:hAnsi="Arial Black" w:cs="Arial"/>
              </w:rPr>
              <w:t>Enclosures:</w:t>
            </w:r>
          </w:p>
          <w:p w:rsidR="00A71F05" w:rsidRPr="00CF184E" w:rsidRDefault="00A71F05" w:rsidP="00D4290D">
            <w:pPr>
              <w:pStyle w:val="Infotext"/>
              <w:rPr>
                <w:rFonts w:ascii="Arial Black" w:hAnsi="Arial Black" w:cs="Arial"/>
              </w:rPr>
            </w:pPr>
          </w:p>
        </w:tc>
        <w:tc>
          <w:tcPr>
            <w:tcW w:w="5610" w:type="dxa"/>
            <w:gridSpan w:val="2"/>
          </w:tcPr>
          <w:p w:rsidR="00A71F05" w:rsidRPr="00596DDC" w:rsidRDefault="00345B33" w:rsidP="00D4290D">
            <w:pPr>
              <w:rPr>
                <w:rFonts w:cs="Arial"/>
                <w:szCs w:val="24"/>
              </w:rPr>
            </w:pPr>
            <w:r>
              <w:rPr>
                <w:rFonts w:cs="Arial"/>
                <w:szCs w:val="24"/>
              </w:rPr>
              <w:t>None</w:t>
            </w:r>
          </w:p>
          <w:p w:rsidR="00A71F05" w:rsidRPr="00596DDC" w:rsidRDefault="00A71F05" w:rsidP="00D4290D">
            <w:pPr>
              <w:rPr>
                <w:rFonts w:cs="Arial"/>
                <w:szCs w:val="24"/>
              </w:rPr>
            </w:pPr>
          </w:p>
        </w:tc>
      </w:tr>
      <w:tr w:rsidR="00A71F05" w:rsidTr="00345B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gridAfter w:val="1"/>
          <w:wBefore w:w="7" w:type="dxa"/>
          <w:wAfter w:w="552" w:type="dxa"/>
        </w:trPr>
        <w:tc>
          <w:tcPr>
            <w:tcW w:w="8525" w:type="dxa"/>
            <w:gridSpan w:val="2"/>
            <w:tcBorders>
              <w:top w:val="nil"/>
              <w:left w:val="nil"/>
              <w:right w:val="nil"/>
            </w:tcBorders>
          </w:tcPr>
          <w:p w:rsidR="00A71F05" w:rsidRDefault="00A71F05" w:rsidP="00D4290D">
            <w:pPr>
              <w:pStyle w:val="Heading1"/>
            </w:pPr>
            <w:r>
              <w:t>Section 1 – Summary and Recommendations</w:t>
            </w:r>
          </w:p>
          <w:p w:rsidR="00A71F05" w:rsidRDefault="00A71F05" w:rsidP="00D4290D"/>
        </w:tc>
      </w:tr>
      <w:tr w:rsidR="00A71F05" w:rsidTr="00345B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gridAfter w:val="1"/>
          <w:wBefore w:w="7" w:type="dxa"/>
          <w:wAfter w:w="552" w:type="dxa"/>
        </w:trPr>
        <w:tc>
          <w:tcPr>
            <w:tcW w:w="8525" w:type="dxa"/>
            <w:gridSpan w:val="2"/>
          </w:tcPr>
          <w:p w:rsidR="00A71F05" w:rsidRDefault="00A71F05" w:rsidP="00D4290D"/>
          <w:p w:rsidR="00A71F05" w:rsidRPr="006A3700" w:rsidRDefault="00A71F05" w:rsidP="00D4290D">
            <w:r w:rsidRPr="006A3700">
              <w:t>This report sets out</w:t>
            </w:r>
            <w:r w:rsidR="00345B33" w:rsidRPr="006A3700">
              <w:t xml:space="preserve"> proposals to make temporary additional payments to care providers for </w:t>
            </w:r>
            <w:proofErr w:type="spellStart"/>
            <w:r w:rsidR="00345B33" w:rsidRPr="006A3700">
              <w:t>covid</w:t>
            </w:r>
            <w:proofErr w:type="spellEnd"/>
            <w:r w:rsidR="00345B33" w:rsidRPr="006A3700">
              <w:t xml:space="preserve"> related costs.</w:t>
            </w:r>
          </w:p>
          <w:p w:rsidR="00A71F05" w:rsidRDefault="00A71F05" w:rsidP="00D4290D">
            <w:pPr>
              <w:pStyle w:val="Heading2"/>
            </w:pPr>
          </w:p>
          <w:p w:rsidR="00A71F05" w:rsidRDefault="00A71F05" w:rsidP="00D4290D">
            <w:pPr>
              <w:pStyle w:val="Heading2"/>
            </w:pPr>
            <w:r>
              <w:t xml:space="preserve">Recommendations: </w:t>
            </w:r>
            <w:r w:rsidR="00964EEC">
              <w:t xml:space="preserve">That </w:t>
            </w:r>
          </w:p>
          <w:p w:rsidR="00066744" w:rsidRPr="00ED6F36" w:rsidRDefault="00066744" w:rsidP="00CA60F9"/>
          <w:p w:rsidR="006A3700" w:rsidRDefault="005C0A44" w:rsidP="006A3700">
            <w:pPr>
              <w:pStyle w:val="ListParagraph"/>
              <w:numPr>
                <w:ilvl w:val="0"/>
                <w:numId w:val="35"/>
              </w:numPr>
            </w:pPr>
            <w:proofErr w:type="gramStart"/>
            <w:r>
              <w:t>the</w:t>
            </w:r>
            <w:proofErr w:type="gramEnd"/>
            <w:r>
              <w:t xml:space="preserve"> approach </w:t>
            </w:r>
            <w:r w:rsidR="00964EEC">
              <w:t xml:space="preserve">taken to </w:t>
            </w:r>
            <w:r>
              <w:t>support providers</w:t>
            </w:r>
            <w:r w:rsidR="0035409B">
              <w:t xml:space="preserve"> implemented </w:t>
            </w:r>
            <w:r>
              <w:t xml:space="preserve">with effect from 23 March </w:t>
            </w:r>
            <w:r w:rsidR="00964EEC">
              <w:t xml:space="preserve">2020 </w:t>
            </w:r>
            <w:r>
              <w:t xml:space="preserve">until the end of </w:t>
            </w:r>
            <w:r w:rsidR="006A3700">
              <w:t>June</w:t>
            </w:r>
            <w:r w:rsidR="00964EEC">
              <w:t xml:space="preserve"> 2020 be noted.</w:t>
            </w:r>
          </w:p>
          <w:p w:rsidR="006A3700" w:rsidRDefault="006A3700" w:rsidP="00A1507D"/>
          <w:p w:rsidR="00345B33" w:rsidRDefault="00964EEC" w:rsidP="006A3700">
            <w:pPr>
              <w:pStyle w:val="ListParagraph"/>
              <w:numPr>
                <w:ilvl w:val="0"/>
                <w:numId w:val="35"/>
              </w:numPr>
            </w:pPr>
            <w:proofErr w:type="gramStart"/>
            <w:r>
              <w:t>the</w:t>
            </w:r>
            <w:proofErr w:type="gramEnd"/>
            <w:r>
              <w:t xml:space="preserve"> Council make a 5% temporary additional payment</w:t>
            </w:r>
            <w:r w:rsidR="00D202AA">
              <w:t xml:space="preserve"> </w:t>
            </w:r>
            <w:r w:rsidR="00345B33">
              <w:t xml:space="preserve">to care providers for </w:t>
            </w:r>
            <w:proofErr w:type="spellStart"/>
            <w:r w:rsidR="00345B33">
              <w:t>covid</w:t>
            </w:r>
            <w:proofErr w:type="spellEnd"/>
            <w:r w:rsidR="00345B33">
              <w:t xml:space="preserve"> related expenses for the period 23 March </w:t>
            </w:r>
            <w:r>
              <w:t xml:space="preserve">2020 </w:t>
            </w:r>
            <w:r w:rsidR="00345B33">
              <w:t>to the end of June</w:t>
            </w:r>
            <w:r>
              <w:t xml:space="preserve"> 2020</w:t>
            </w:r>
            <w:r w:rsidR="00345B33">
              <w:t>.</w:t>
            </w:r>
          </w:p>
          <w:p w:rsidR="00345B33" w:rsidRDefault="00345B33" w:rsidP="00A1507D"/>
          <w:p w:rsidR="00A71F05" w:rsidRPr="006A3700" w:rsidRDefault="00A71F05" w:rsidP="00D4290D">
            <w:pPr>
              <w:pStyle w:val="Heading2"/>
              <w:rPr>
                <w:b w:val="0"/>
                <w:sz w:val="24"/>
                <w:szCs w:val="24"/>
              </w:rPr>
            </w:pPr>
            <w:r>
              <w:t>Reason:  (For recommendation)</w:t>
            </w:r>
            <w:r w:rsidR="00596DDC">
              <w:t xml:space="preserve"> </w:t>
            </w:r>
            <w:r>
              <w:rPr>
                <w:color w:val="FF0000"/>
              </w:rPr>
              <w:t xml:space="preserve"> </w:t>
            </w:r>
            <w:r w:rsidR="006A3700" w:rsidRPr="006A3700">
              <w:rPr>
                <w:b w:val="0"/>
                <w:sz w:val="24"/>
                <w:szCs w:val="24"/>
              </w:rPr>
              <w:t xml:space="preserve">to enable the Council to make payments to </w:t>
            </w:r>
            <w:r w:rsidR="0023646B">
              <w:rPr>
                <w:b w:val="0"/>
                <w:sz w:val="24"/>
                <w:szCs w:val="24"/>
              </w:rPr>
              <w:t xml:space="preserve">social care </w:t>
            </w:r>
            <w:r w:rsidR="006A3700" w:rsidRPr="006A3700">
              <w:rPr>
                <w:b w:val="0"/>
                <w:sz w:val="24"/>
                <w:szCs w:val="24"/>
              </w:rPr>
              <w:t xml:space="preserve">providers in accordance with the Government’s allocation of additional </w:t>
            </w:r>
            <w:proofErr w:type="spellStart"/>
            <w:r w:rsidR="006A3700" w:rsidRPr="006A3700">
              <w:rPr>
                <w:b w:val="0"/>
                <w:sz w:val="24"/>
                <w:szCs w:val="24"/>
              </w:rPr>
              <w:t>covid</w:t>
            </w:r>
            <w:proofErr w:type="spellEnd"/>
            <w:r w:rsidR="006A3700" w:rsidRPr="006A3700">
              <w:rPr>
                <w:b w:val="0"/>
                <w:sz w:val="24"/>
                <w:szCs w:val="24"/>
              </w:rPr>
              <w:t xml:space="preserve"> funding and fulfil the Local Authority duty to manage the provide</w:t>
            </w:r>
            <w:r w:rsidR="0023646B">
              <w:rPr>
                <w:b w:val="0"/>
                <w:sz w:val="24"/>
                <w:szCs w:val="24"/>
              </w:rPr>
              <w:t>r</w:t>
            </w:r>
            <w:r w:rsidR="006A3700" w:rsidRPr="006A3700">
              <w:rPr>
                <w:b w:val="0"/>
                <w:sz w:val="24"/>
                <w:szCs w:val="24"/>
              </w:rPr>
              <w:t xml:space="preserve"> market.</w:t>
            </w:r>
          </w:p>
          <w:p w:rsidR="00A71F05" w:rsidRDefault="00A71F05" w:rsidP="00D4290D">
            <w:pPr>
              <w:jc w:val="both"/>
              <w:rPr>
                <w:rFonts w:cs="Arial"/>
              </w:rPr>
            </w:pPr>
          </w:p>
        </w:tc>
      </w:tr>
    </w:tbl>
    <w:p w:rsidR="00A71F05" w:rsidRDefault="00A71F05" w:rsidP="00A71F05">
      <w:pPr>
        <w:pStyle w:val="Heading1"/>
        <w:jc w:val="center"/>
        <w:rPr>
          <w:color w:val="0000FF"/>
          <w:sz w:val="28"/>
        </w:rPr>
        <w:sectPr w:rsidR="00A71F05" w:rsidSect="00777CC5">
          <w:footerReference w:type="default" r:id="rId9"/>
          <w:footerReference w:type="first" r:id="rId10"/>
          <w:type w:val="continuous"/>
          <w:pgSz w:w="11909" w:h="16834" w:code="9"/>
          <w:pgMar w:top="864" w:right="1800" w:bottom="1440" w:left="1800" w:header="1008" w:footer="432" w:gutter="0"/>
          <w:cols w:space="720"/>
          <w:titlePg/>
          <w:docGrid w:linePitch="360"/>
        </w:sectPr>
      </w:pPr>
    </w:p>
    <w:p w:rsidR="00596DDC" w:rsidRPr="00596DDC" w:rsidRDefault="00596DDC" w:rsidP="00596DDC"/>
    <w:p w:rsidR="00A71F05" w:rsidRDefault="00A71F05" w:rsidP="00A71F05">
      <w:pPr>
        <w:pStyle w:val="Heading1"/>
        <w:jc w:val="both"/>
      </w:pPr>
      <w:r>
        <w:t>Section 2 – Report</w:t>
      </w:r>
    </w:p>
    <w:p w:rsidR="00A71F05" w:rsidRDefault="00A71F05" w:rsidP="00A71F05"/>
    <w:p w:rsidR="00A71F05" w:rsidRDefault="00A71F05" w:rsidP="00A71F05">
      <w:pPr>
        <w:pStyle w:val="Heading2"/>
      </w:pPr>
      <w:r>
        <w:t>Introductory paragraph</w:t>
      </w:r>
    </w:p>
    <w:p w:rsidR="0058705B" w:rsidRPr="00231F9D" w:rsidRDefault="0058705B" w:rsidP="00231F9D">
      <w:pPr>
        <w:pStyle w:val="ListParagraph"/>
        <w:numPr>
          <w:ilvl w:val="0"/>
          <w:numId w:val="45"/>
        </w:numPr>
        <w:ind w:left="567" w:hanging="567"/>
        <w:rPr>
          <w:rFonts w:cs="Arial"/>
          <w:szCs w:val="24"/>
        </w:rPr>
      </w:pPr>
      <w:r w:rsidRPr="00231F9D">
        <w:rPr>
          <w:rFonts w:cs="Arial"/>
          <w:szCs w:val="24"/>
        </w:rPr>
        <w:t xml:space="preserve">This </w:t>
      </w:r>
      <w:r w:rsidR="00D202AA">
        <w:rPr>
          <w:rFonts w:cs="Arial"/>
          <w:szCs w:val="24"/>
        </w:rPr>
        <w:t>report</w:t>
      </w:r>
      <w:r w:rsidR="00D202AA" w:rsidRPr="00231F9D">
        <w:rPr>
          <w:rFonts w:cs="Arial"/>
          <w:szCs w:val="24"/>
        </w:rPr>
        <w:t xml:space="preserve"> </w:t>
      </w:r>
      <w:r w:rsidRPr="00231F9D">
        <w:rPr>
          <w:rFonts w:cs="Arial"/>
          <w:szCs w:val="24"/>
        </w:rPr>
        <w:t>sets out the approach to provide financial support to residential and nursing home</w:t>
      </w:r>
      <w:r w:rsidR="00025896">
        <w:rPr>
          <w:rFonts w:cs="Arial"/>
          <w:szCs w:val="24"/>
        </w:rPr>
        <w:t xml:space="preserve">, extra care and supported housing </w:t>
      </w:r>
      <w:r w:rsidRPr="00231F9D">
        <w:rPr>
          <w:rFonts w:cs="Arial"/>
          <w:szCs w:val="24"/>
        </w:rPr>
        <w:t xml:space="preserve">providers in Harrow and those outside Harrow where Harrow residents are placed. These providers are those that supply 24 hour care services to individuals in a care home setting and include extra care and supported housing. </w:t>
      </w:r>
    </w:p>
    <w:p w:rsidR="0058705B" w:rsidRPr="00231F9D" w:rsidRDefault="0058705B" w:rsidP="00A71F05">
      <w:pPr>
        <w:pStyle w:val="Heading2"/>
        <w:rPr>
          <w:sz w:val="24"/>
          <w:szCs w:val="24"/>
        </w:rPr>
      </w:pPr>
    </w:p>
    <w:p w:rsidR="001A092D" w:rsidRPr="00231F9D" w:rsidRDefault="00A71F05" w:rsidP="00231F9D">
      <w:pPr>
        <w:pStyle w:val="Heading2"/>
      </w:pPr>
      <w:r w:rsidRPr="00231F9D">
        <w:t>Options considered</w:t>
      </w:r>
    </w:p>
    <w:p w:rsidR="001A092D" w:rsidRPr="00231F9D" w:rsidRDefault="001A092D" w:rsidP="00231F9D">
      <w:pPr>
        <w:numPr>
          <w:ilvl w:val="0"/>
          <w:numId w:val="49"/>
        </w:numPr>
        <w:tabs>
          <w:tab w:val="left" w:pos="1134"/>
        </w:tabs>
        <w:autoSpaceDE w:val="0"/>
        <w:autoSpaceDN w:val="0"/>
        <w:adjustRightInd w:val="0"/>
        <w:ind w:left="1134" w:hanging="567"/>
        <w:rPr>
          <w:rFonts w:cs="Arial"/>
          <w:szCs w:val="24"/>
          <w:lang w:eastAsia="en-GB"/>
        </w:rPr>
      </w:pPr>
      <w:r w:rsidRPr="00231F9D">
        <w:rPr>
          <w:rFonts w:cs="Arial"/>
          <w:szCs w:val="24"/>
          <w:lang w:eastAsia="en-GB"/>
        </w:rPr>
        <w:t xml:space="preserve">Do </w:t>
      </w:r>
      <w:r w:rsidR="00964EEC">
        <w:rPr>
          <w:rFonts w:cs="Arial"/>
          <w:szCs w:val="24"/>
          <w:lang w:eastAsia="en-GB"/>
        </w:rPr>
        <w:t>n</w:t>
      </w:r>
      <w:r w:rsidR="00964EEC" w:rsidRPr="00231F9D">
        <w:rPr>
          <w:rFonts w:cs="Arial"/>
          <w:szCs w:val="24"/>
          <w:lang w:eastAsia="en-GB"/>
        </w:rPr>
        <w:t xml:space="preserve">othing </w:t>
      </w:r>
      <w:r w:rsidRPr="00231F9D">
        <w:rPr>
          <w:rFonts w:cs="Arial"/>
          <w:szCs w:val="24"/>
          <w:lang w:eastAsia="en-GB"/>
        </w:rPr>
        <w:t xml:space="preserve">– this will not enable the Council to support the care provider market in Harrow during </w:t>
      </w:r>
      <w:r w:rsidR="00964EEC">
        <w:rPr>
          <w:rFonts w:cs="Arial"/>
          <w:szCs w:val="24"/>
          <w:lang w:eastAsia="en-GB"/>
        </w:rPr>
        <w:t xml:space="preserve">the </w:t>
      </w:r>
      <w:proofErr w:type="spellStart"/>
      <w:r w:rsidRPr="00231F9D">
        <w:rPr>
          <w:rFonts w:cs="Arial"/>
          <w:szCs w:val="24"/>
          <w:lang w:eastAsia="en-GB"/>
        </w:rPr>
        <w:t>covid</w:t>
      </w:r>
      <w:proofErr w:type="spellEnd"/>
      <w:r w:rsidRPr="00231F9D">
        <w:rPr>
          <w:rFonts w:cs="Arial"/>
          <w:szCs w:val="24"/>
          <w:lang w:eastAsia="en-GB"/>
        </w:rPr>
        <w:t xml:space="preserve"> emergency, the recovery and post </w:t>
      </w:r>
      <w:proofErr w:type="spellStart"/>
      <w:r w:rsidRPr="00231F9D">
        <w:rPr>
          <w:rFonts w:cs="Arial"/>
          <w:szCs w:val="24"/>
          <w:lang w:eastAsia="en-GB"/>
        </w:rPr>
        <w:t>covid</w:t>
      </w:r>
      <w:proofErr w:type="spellEnd"/>
      <w:r w:rsidRPr="00231F9D">
        <w:rPr>
          <w:rFonts w:cs="Arial"/>
          <w:szCs w:val="24"/>
          <w:lang w:eastAsia="en-GB"/>
        </w:rPr>
        <w:t xml:space="preserve"> period.</w:t>
      </w:r>
      <w:r w:rsidR="00025896">
        <w:rPr>
          <w:rFonts w:cs="Arial"/>
          <w:szCs w:val="24"/>
          <w:lang w:eastAsia="en-GB"/>
        </w:rPr>
        <w:t xml:space="preserve"> This option will also be inconsistent with government guidance to public bodies on supporting their providers to ensure service continuity during and after the pandemic.</w:t>
      </w:r>
    </w:p>
    <w:p w:rsidR="001A092D" w:rsidRPr="00231F9D" w:rsidRDefault="001A092D" w:rsidP="00231F9D">
      <w:pPr>
        <w:tabs>
          <w:tab w:val="left" w:pos="1134"/>
        </w:tabs>
        <w:autoSpaceDE w:val="0"/>
        <w:autoSpaceDN w:val="0"/>
        <w:adjustRightInd w:val="0"/>
        <w:ind w:left="1134" w:hanging="567"/>
        <w:rPr>
          <w:rFonts w:cs="Arial"/>
          <w:szCs w:val="24"/>
          <w:lang w:eastAsia="en-GB"/>
        </w:rPr>
      </w:pPr>
    </w:p>
    <w:p w:rsidR="001A092D" w:rsidRPr="00231F9D" w:rsidRDefault="00025896" w:rsidP="00231F9D">
      <w:pPr>
        <w:numPr>
          <w:ilvl w:val="0"/>
          <w:numId w:val="49"/>
        </w:numPr>
        <w:tabs>
          <w:tab w:val="left" w:pos="1134"/>
        </w:tabs>
        <w:autoSpaceDE w:val="0"/>
        <w:autoSpaceDN w:val="0"/>
        <w:adjustRightInd w:val="0"/>
        <w:ind w:left="1134" w:hanging="567"/>
      </w:pPr>
      <w:r>
        <w:rPr>
          <w:rFonts w:cs="Arial"/>
          <w:szCs w:val="24"/>
          <w:lang w:eastAsia="en-GB"/>
        </w:rPr>
        <w:t xml:space="preserve">Support care providers - </w:t>
      </w:r>
      <w:r w:rsidR="001A092D" w:rsidRPr="00231F9D">
        <w:rPr>
          <w:rFonts w:cs="Arial"/>
          <w:szCs w:val="24"/>
          <w:lang w:eastAsia="en-GB"/>
        </w:rPr>
        <w:t xml:space="preserve">Develop temporary funding proposals to support the market to increase its resilience during the </w:t>
      </w:r>
      <w:proofErr w:type="spellStart"/>
      <w:r w:rsidR="001A092D" w:rsidRPr="00231F9D">
        <w:rPr>
          <w:rFonts w:cs="Arial"/>
          <w:szCs w:val="24"/>
          <w:lang w:eastAsia="en-GB"/>
        </w:rPr>
        <w:t>covid</w:t>
      </w:r>
      <w:proofErr w:type="spellEnd"/>
      <w:r w:rsidR="001A092D" w:rsidRPr="00231F9D">
        <w:rPr>
          <w:rFonts w:cs="Arial"/>
          <w:szCs w:val="24"/>
          <w:lang w:eastAsia="en-GB"/>
        </w:rPr>
        <w:t xml:space="preserve"> period and ensure that the there is a sustainable care market to continue to meet the needs of vulnerable Harrow residents in future.</w:t>
      </w:r>
    </w:p>
    <w:p w:rsidR="0058705B" w:rsidRPr="00231F9D" w:rsidRDefault="0058705B" w:rsidP="0058705B">
      <w:pPr>
        <w:rPr>
          <w:rFonts w:cs="Arial"/>
          <w:b/>
          <w:szCs w:val="24"/>
        </w:rPr>
      </w:pPr>
    </w:p>
    <w:p w:rsidR="0058705B" w:rsidRPr="00231F9D" w:rsidRDefault="0058705B" w:rsidP="00231F9D">
      <w:pPr>
        <w:rPr>
          <w:rFonts w:cs="Arial"/>
          <w:b/>
          <w:sz w:val="28"/>
          <w:szCs w:val="28"/>
        </w:rPr>
      </w:pPr>
      <w:r w:rsidRPr="00231F9D">
        <w:rPr>
          <w:rFonts w:cs="Arial"/>
          <w:b/>
          <w:sz w:val="28"/>
          <w:szCs w:val="28"/>
        </w:rPr>
        <w:t>Background</w:t>
      </w:r>
    </w:p>
    <w:p w:rsidR="0058705B" w:rsidRPr="00231F9D" w:rsidRDefault="0058705B" w:rsidP="00231F9D">
      <w:pPr>
        <w:pStyle w:val="ListParagraph"/>
        <w:numPr>
          <w:ilvl w:val="0"/>
          <w:numId w:val="45"/>
        </w:numPr>
        <w:ind w:left="567" w:hanging="567"/>
        <w:rPr>
          <w:rFonts w:cs="Arial"/>
          <w:szCs w:val="24"/>
        </w:rPr>
      </w:pPr>
      <w:r w:rsidRPr="00231F9D">
        <w:rPr>
          <w:rFonts w:cs="Arial"/>
          <w:szCs w:val="24"/>
        </w:rPr>
        <w:t xml:space="preserve">There are three papers that provide the context for developing the proposals for additional temporary funding </w:t>
      </w:r>
      <w:r w:rsidR="00964EEC">
        <w:rPr>
          <w:rFonts w:cs="Arial"/>
          <w:szCs w:val="24"/>
        </w:rPr>
        <w:t xml:space="preserve">and </w:t>
      </w:r>
      <w:r w:rsidRPr="00231F9D">
        <w:rPr>
          <w:rFonts w:cs="Arial"/>
          <w:szCs w:val="24"/>
        </w:rPr>
        <w:t>are outlined as follows:</w:t>
      </w:r>
    </w:p>
    <w:p w:rsidR="0058705B" w:rsidRPr="00231F9D" w:rsidRDefault="0058705B" w:rsidP="0058705B">
      <w:pPr>
        <w:rPr>
          <w:rFonts w:cs="Arial"/>
          <w:b/>
          <w:szCs w:val="24"/>
        </w:rPr>
      </w:pPr>
    </w:p>
    <w:p w:rsidR="0058705B" w:rsidRPr="00231F9D" w:rsidRDefault="0058705B" w:rsidP="00231F9D">
      <w:pPr>
        <w:pStyle w:val="ListParagraph"/>
        <w:ind w:left="360" w:firstLine="207"/>
        <w:rPr>
          <w:rFonts w:cs="Arial"/>
          <w:i/>
          <w:szCs w:val="24"/>
        </w:rPr>
      </w:pPr>
      <w:r w:rsidRPr="00231F9D">
        <w:rPr>
          <w:rFonts w:cs="Arial"/>
          <w:i/>
          <w:szCs w:val="24"/>
        </w:rPr>
        <w:t xml:space="preserve">Government </w:t>
      </w:r>
      <w:proofErr w:type="spellStart"/>
      <w:r w:rsidRPr="00231F9D">
        <w:rPr>
          <w:rFonts w:cs="Arial"/>
          <w:i/>
          <w:szCs w:val="24"/>
        </w:rPr>
        <w:t>Covid</w:t>
      </w:r>
      <w:proofErr w:type="spellEnd"/>
      <w:r w:rsidRPr="00231F9D">
        <w:rPr>
          <w:rFonts w:cs="Arial"/>
          <w:i/>
          <w:szCs w:val="24"/>
        </w:rPr>
        <w:t xml:space="preserve"> Funding for Local Authorities</w:t>
      </w:r>
    </w:p>
    <w:p w:rsidR="0058705B" w:rsidRPr="00231F9D" w:rsidRDefault="0058705B" w:rsidP="00231F9D">
      <w:pPr>
        <w:pStyle w:val="ListParagraph"/>
        <w:numPr>
          <w:ilvl w:val="0"/>
          <w:numId w:val="45"/>
        </w:numPr>
        <w:ind w:left="567" w:hanging="567"/>
        <w:rPr>
          <w:rFonts w:cs="Arial"/>
          <w:szCs w:val="24"/>
        </w:rPr>
      </w:pPr>
      <w:r w:rsidRPr="00231F9D">
        <w:rPr>
          <w:rFonts w:cs="Arial"/>
          <w:szCs w:val="24"/>
        </w:rPr>
        <w:t xml:space="preserve">The Government has allocated additional funding for local authorities for the </w:t>
      </w:r>
      <w:proofErr w:type="spellStart"/>
      <w:r w:rsidRPr="00231F9D">
        <w:rPr>
          <w:rFonts w:cs="Arial"/>
          <w:szCs w:val="24"/>
        </w:rPr>
        <w:t>covid</w:t>
      </w:r>
      <w:proofErr w:type="spellEnd"/>
      <w:r w:rsidRPr="00231F9D">
        <w:rPr>
          <w:rFonts w:cs="Arial"/>
          <w:szCs w:val="24"/>
        </w:rPr>
        <w:t xml:space="preserve"> related costs incurred. There have been two announcements on 20 March and 30 April. The total allocated to Harrow is £13.110m. This funding is for any </w:t>
      </w:r>
      <w:proofErr w:type="spellStart"/>
      <w:r w:rsidRPr="00231F9D">
        <w:rPr>
          <w:rFonts w:cs="Arial"/>
          <w:szCs w:val="24"/>
        </w:rPr>
        <w:t>covid</w:t>
      </w:r>
      <w:proofErr w:type="spellEnd"/>
      <w:r w:rsidRPr="00231F9D">
        <w:rPr>
          <w:rFonts w:cs="Arial"/>
          <w:szCs w:val="24"/>
        </w:rPr>
        <w:t xml:space="preserve"> related expenses and is not ring fenced to </w:t>
      </w:r>
      <w:r w:rsidR="00964EEC">
        <w:rPr>
          <w:rFonts w:cs="Arial"/>
          <w:szCs w:val="24"/>
        </w:rPr>
        <w:t>Adult Social Care (</w:t>
      </w:r>
      <w:r w:rsidRPr="00231F9D">
        <w:rPr>
          <w:rFonts w:cs="Arial"/>
          <w:szCs w:val="24"/>
        </w:rPr>
        <w:t>ASC</w:t>
      </w:r>
      <w:r w:rsidR="00964EEC">
        <w:rPr>
          <w:rFonts w:cs="Arial"/>
          <w:szCs w:val="24"/>
        </w:rPr>
        <w:t>)</w:t>
      </w:r>
      <w:r w:rsidRPr="00231F9D">
        <w:rPr>
          <w:rFonts w:cs="Arial"/>
          <w:szCs w:val="24"/>
        </w:rPr>
        <w:t xml:space="preserve">. In both announcements, the Government set </w:t>
      </w:r>
      <w:r w:rsidRPr="00231F9D">
        <w:rPr>
          <w:rFonts w:cs="Arial"/>
          <w:szCs w:val="24"/>
        </w:rPr>
        <w:lastRenderedPageBreak/>
        <w:t>out clear expectations that this funding will be used to support front line services and care providers including care homes.</w:t>
      </w:r>
    </w:p>
    <w:p w:rsidR="0058705B" w:rsidRPr="00231F9D" w:rsidRDefault="0058705B" w:rsidP="0058705B">
      <w:pPr>
        <w:rPr>
          <w:rFonts w:cs="Arial"/>
          <w:szCs w:val="24"/>
        </w:rPr>
      </w:pPr>
    </w:p>
    <w:p w:rsidR="0058705B" w:rsidRPr="00231F9D" w:rsidRDefault="0058705B" w:rsidP="00231F9D">
      <w:pPr>
        <w:pStyle w:val="ListParagraph"/>
        <w:ind w:left="567"/>
        <w:rPr>
          <w:rFonts w:cs="Arial"/>
          <w:i/>
          <w:szCs w:val="24"/>
        </w:rPr>
      </w:pPr>
      <w:r w:rsidRPr="00231F9D">
        <w:rPr>
          <w:rFonts w:cs="Arial"/>
          <w:i/>
          <w:szCs w:val="24"/>
        </w:rPr>
        <w:t>Government Procurement Policy Note</w:t>
      </w:r>
      <w:r w:rsidR="00025896">
        <w:rPr>
          <w:rFonts w:cs="Arial"/>
          <w:i/>
          <w:szCs w:val="24"/>
        </w:rPr>
        <w:t xml:space="preserve"> 02/20</w:t>
      </w:r>
    </w:p>
    <w:p w:rsidR="0058705B" w:rsidRPr="00231F9D" w:rsidRDefault="0058705B" w:rsidP="00231F9D">
      <w:pPr>
        <w:pStyle w:val="ListParagraph"/>
        <w:numPr>
          <w:ilvl w:val="0"/>
          <w:numId w:val="45"/>
        </w:numPr>
        <w:ind w:left="567" w:hanging="567"/>
        <w:rPr>
          <w:rFonts w:cs="Arial"/>
          <w:szCs w:val="24"/>
        </w:rPr>
      </w:pPr>
      <w:r w:rsidRPr="00231F9D">
        <w:rPr>
          <w:rFonts w:cs="Arial"/>
          <w:szCs w:val="24"/>
        </w:rPr>
        <w:t xml:space="preserve">The Government issued a Procurement Policy Note </w:t>
      </w:r>
      <w:r w:rsidR="00AF481E">
        <w:rPr>
          <w:rFonts w:cs="Arial"/>
          <w:szCs w:val="24"/>
        </w:rPr>
        <w:t xml:space="preserve">(PPN) </w:t>
      </w:r>
      <w:r w:rsidRPr="00231F9D">
        <w:rPr>
          <w:rFonts w:cs="Arial"/>
          <w:szCs w:val="24"/>
        </w:rPr>
        <w:t xml:space="preserve">on Supplier Relief Due to Covid-19 that came into immediate effect until the 30 June 2020. The purpose of the PPN is to ensure that suppliers continue to be paid as appropriate during the period of disruption caused by COVID-19, to support the additional </w:t>
      </w:r>
      <w:proofErr w:type="spellStart"/>
      <w:r w:rsidRPr="00231F9D">
        <w:rPr>
          <w:rFonts w:cs="Arial"/>
          <w:szCs w:val="24"/>
        </w:rPr>
        <w:t>covid</w:t>
      </w:r>
      <w:proofErr w:type="spellEnd"/>
      <w:r w:rsidRPr="00231F9D">
        <w:rPr>
          <w:rFonts w:cs="Arial"/>
          <w:szCs w:val="24"/>
        </w:rPr>
        <w:t xml:space="preserve"> related costs and so that they are in a position to resume normal contract delivery once the coronavirus outbreak is over. Harrow’s Procurement Team has issued guidance on managing requests for additional funding to ensure that they are managed in accordance with the PPN. </w:t>
      </w:r>
    </w:p>
    <w:p w:rsidR="0058705B" w:rsidRPr="00231F9D" w:rsidRDefault="0058705B" w:rsidP="0058705B">
      <w:pPr>
        <w:rPr>
          <w:rFonts w:cs="Arial"/>
          <w:szCs w:val="24"/>
        </w:rPr>
      </w:pPr>
    </w:p>
    <w:p w:rsidR="0058705B" w:rsidRPr="00231F9D" w:rsidRDefault="0058705B" w:rsidP="00231F9D">
      <w:pPr>
        <w:pStyle w:val="Default"/>
        <w:ind w:left="567"/>
        <w:rPr>
          <w:i/>
        </w:rPr>
      </w:pPr>
      <w:r w:rsidRPr="00231F9D">
        <w:rPr>
          <w:i/>
        </w:rPr>
        <w:t xml:space="preserve">LGA and ADASS </w:t>
      </w:r>
      <w:r w:rsidRPr="00231F9D">
        <w:rPr>
          <w:bCs/>
          <w:i/>
        </w:rPr>
        <w:t>Temporary Funding for Adult Social Care providers during the Covid-19 Crisis</w:t>
      </w:r>
    </w:p>
    <w:p w:rsidR="0058705B" w:rsidRPr="00231F9D" w:rsidRDefault="0058705B" w:rsidP="00231F9D">
      <w:pPr>
        <w:pStyle w:val="Default"/>
        <w:numPr>
          <w:ilvl w:val="0"/>
          <w:numId w:val="45"/>
        </w:numPr>
        <w:ind w:left="567" w:hanging="567"/>
      </w:pPr>
      <w:r w:rsidRPr="00231F9D">
        <w:t xml:space="preserve">The LGA/ADASS </w:t>
      </w:r>
      <w:r w:rsidR="00AF481E">
        <w:t xml:space="preserve">(Local Government Association/ Association of Directors of Adult Social Services) </w:t>
      </w:r>
      <w:r w:rsidRPr="00231F9D">
        <w:t xml:space="preserve">published a statement to give a framework for the consideration of locally determined temporary funding of social care providers in the light of the current national emergency. Its focus is on stabilising the adult social care market during the crisis. The Framework includes reference to the up-lift process for 2020/21 noting the national living wage and inflation and also the Government’s additional temporary funding to recognise the cost pressures caused by Covid-19: higher dependency levels, higher staff sickness absence rates, higher administration costs due to greater volatility of support packages, and PPE </w:t>
      </w:r>
      <w:r w:rsidR="00AF481E">
        <w:t>(Personal Protective Equipment)</w:t>
      </w:r>
      <w:r w:rsidR="001A7CC7">
        <w:t xml:space="preserve"> </w:t>
      </w:r>
      <w:r w:rsidRPr="00231F9D">
        <w:t xml:space="preserve">costs. </w:t>
      </w:r>
    </w:p>
    <w:p w:rsidR="0058705B" w:rsidRPr="00231F9D" w:rsidRDefault="0058705B" w:rsidP="00231F9D">
      <w:pPr>
        <w:pStyle w:val="Default"/>
        <w:ind w:left="567" w:hanging="567"/>
      </w:pPr>
    </w:p>
    <w:p w:rsidR="0058705B" w:rsidRPr="00231F9D" w:rsidRDefault="0058705B" w:rsidP="00231F9D">
      <w:pPr>
        <w:pStyle w:val="Default"/>
        <w:numPr>
          <w:ilvl w:val="0"/>
          <w:numId w:val="45"/>
        </w:numPr>
        <w:ind w:left="567" w:hanging="567"/>
      </w:pPr>
      <w:r w:rsidRPr="00231F9D">
        <w:t>The Framework suggests that any temporary increase could be initially for 1 month with effect from 1</w:t>
      </w:r>
      <w:r w:rsidRPr="00231F9D">
        <w:rPr>
          <w:vertAlign w:val="superscript"/>
        </w:rPr>
        <w:t>st</w:t>
      </w:r>
      <w:r w:rsidRPr="00231F9D">
        <w:t xml:space="preserve">. April 2020 with the expectation that it would be extended further if significant staffing issues persist. It is also suggested that the default position is that this extra temporary funding will end when the Covid-19 emergency finishes or is scaled down significantly. </w:t>
      </w:r>
    </w:p>
    <w:p w:rsidR="0058705B" w:rsidRPr="00231F9D" w:rsidRDefault="0058705B" w:rsidP="00231F9D">
      <w:pPr>
        <w:pStyle w:val="Default"/>
        <w:ind w:left="567" w:hanging="567"/>
      </w:pPr>
    </w:p>
    <w:p w:rsidR="0058705B" w:rsidRPr="00231F9D" w:rsidRDefault="0058705B" w:rsidP="00231F9D">
      <w:pPr>
        <w:pStyle w:val="ListParagraph"/>
        <w:numPr>
          <w:ilvl w:val="0"/>
          <w:numId w:val="45"/>
        </w:numPr>
        <w:ind w:left="567" w:hanging="567"/>
        <w:rPr>
          <w:rFonts w:cs="Arial"/>
          <w:szCs w:val="24"/>
        </w:rPr>
      </w:pPr>
      <w:r w:rsidRPr="00231F9D">
        <w:rPr>
          <w:rFonts w:cs="Arial"/>
          <w:szCs w:val="24"/>
        </w:rPr>
        <w:t xml:space="preserve">Officers have already undertaken the follow steps to support providers aligned with the Government‘s </w:t>
      </w:r>
      <w:proofErr w:type="spellStart"/>
      <w:r w:rsidRPr="00231F9D">
        <w:rPr>
          <w:rFonts w:cs="Arial"/>
          <w:szCs w:val="24"/>
        </w:rPr>
        <w:t>Covid</w:t>
      </w:r>
      <w:proofErr w:type="spellEnd"/>
      <w:r w:rsidRPr="00231F9D">
        <w:rPr>
          <w:rFonts w:cs="Arial"/>
          <w:szCs w:val="24"/>
        </w:rPr>
        <w:t xml:space="preserve"> Funding, ADASS framework, Government’s PPN and Procurement’s advice:</w:t>
      </w:r>
    </w:p>
    <w:p w:rsidR="0058705B" w:rsidRPr="00231F9D" w:rsidRDefault="0058705B" w:rsidP="00231F9D">
      <w:pPr>
        <w:ind w:left="851"/>
        <w:rPr>
          <w:rFonts w:cs="Arial"/>
          <w:szCs w:val="24"/>
        </w:rPr>
      </w:pPr>
    </w:p>
    <w:p w:rsidR="00025896" w:rsidRDefault="00025896">
      <w:pPr>
        <w:pStyle w:val="ListParagraph"/>
        <w:numPr>
          <w:ilvl w:val="0"/>
          <w:numId w:val="48"/>
        </w:numPr>
        <w:ind w:left="1276" w:hanging="567"/>
        <w:contextualSpacing/>
        <w:rPr>
          <w:rFonts w:cs="Arial"/>
          <w:szCs w:val="24"/>
        </w:rPr>
      </w:pPr>
      <w:r w:rsidRPr="00025896">
        <w:rPr>
          <w:rFonts w:cs="Arial"/>
          <w:szCs w:val="24"/>
        </w:rPr>
        <w:t xml:space="preserve">Accelerated payment terms for social care providers implemented. Payment of invoices brought forward from the Council’s default 30 days to 14 days, some social care providers already on immediate payment terms. </w:t>
      </w:r>
    </w:p>
    <w:p w:rsidR="0058705B" w:rsidRPr="00025896" w:rsidRDefault="0058705B">
      <w:pPr>
        <w:pStyle w:val="ListParagraph"/>
        <w:numPr>
          <w:ilvl w:val="0"/>
          <w:numId w:val="48"/>
        </w:numPr>
        <w:ind w:left="1276" w:hanging="567"/>
        <w:contextualSpacing/>
        <w:rPr>
          <w:rFonts w:cs="Arial"/>
          <w:szCs w:val="24"/>
        </w:rPr>
      </w:pPr>
      <w:r w:rsidRPr="00025896">
        <w:rPr>
          <w:rFonts w:cs="Arial"/>
          <w:szCs w:val="24"/>
        </w:rPr>
        <w:t>Payments to day care / home care providers are now paid on a scheduler basis (reducing the administrative burden of raising invoices) for planned care for the period 23/03</w:t>
      </w:r>
      <w:r w:rsidR="00AF481E" w:rsidRPr="00025896">
        <w:rPr>
          <w:rFonts w:cs="Arial"/>
          <w:szCs w:val="24"/>
        </w:rPr>
        <w:t>/20</w:t>
      </w:r>
      <w:r w:rsidRPr="00025896">
        <w:rPr>
          <w:rFonts w:cs="Arial"/>
          <w:szCs w:val="24"/>
        </w:rPr>
        <w:t xml:space="preserve"> to 30/06/20 (subject to review), regardless of whether the service user has cancelled the package or the provider has closed the service or </w:t>
      </w:r>
      <w:r w:rsidR="00AF481E" w:rsidRPr="00025896">
        <w:rPr>
          <w:rFonts w:cs="Arial"/>
          <w:szCs w:val="24"/>
        </w:rPr>
        <w:t xml:space="preserve">provided </w:t>
      </w:r>
      <w:r w:rsidRPr="00025896">
        <w:rPr>
          <w:rFonts w:cs="Arial"/>
          <w:szCs w:val="24"/>
        </w:rPr>
        <w:t>an alternative. The cost of this is estimated at just under £500k.</w:t>
      </w:r>
    </w:p>
    <w:p w:rsidR="0058705B" w:rsidRPr="00231F9D" w:rsidRDefault="0058705B" w:rsidP="00231F9D">
      <w:pPr>
        <w:pStyle w:val="ListParagraph"/>
        <w:numPr>
          <w:ilvl w:val="0"/>
          <w:numId w:val="48"/>
        </w:numPr>
        <w:ind w:left="1276" w:hanging="567"/>
        <w:contextualSpacing/>
        <w:rPr>
          <w:rFonts w:cs="Arial"/>
          <w:szCs w:val="24"/>
        </w:rPr>
      </w:pPr>
      <w:r w:rsidRPr="00231F9D">
        <w:rPr>
          <w:rFonts w:cs="Arial"/>
          <w:szCs w:val="24"/>
        </w:rPr>
        <w:lastRenderedPageBreak/>
        <w:t>Recipients of Direct Payments have been advised to continue paying their providers regardless of whether the service has been cancelled, ceased, or an alternative service is being provided.  The cost of this is estimated at £150k.</w:t>
      </w:r>
    </w:p>
    <w:p w:rsidR="0058705B" w:rsidRPr="00231F9D" w:rsidRDefault="0058705B" w:rsidP="00231F9D">
      <w:pPr>
        <w:pStyle w:val="ListParagraph"/>
        <w:numPr>
          <w:ilvl w:val="0"/>
          <w:numId w:val="48"/>
        </w:numPr>
        <w:ind w:left="1276" w:hanging="567"/>
        <w:contextualSpacing/>
        <w:rPr>
          <w:rFonts w:cs="Arial"/>
          <w:szCs w:val="24"/>
        </w:rPr>
      </w:pPr>
      <w:r w:rsidRPr="00231F9D">
        <w:rPr>
          <w:rFonts w:cs="Arial"/>
          <w:szCs w:val="24"/>
        </w:rPr>
        <w:t xml:space="preserve">An enhanced </w:t>
      </w:r>
      <w:proofErr w:type="spellStart"/>
      <w:r w:rsidRPr="00231F9D">
        <w:rPr>
          <w:rFonts w:cs="Arial"/>
          <w:szCs w:val="24"/>
        </w:rPr>
        <w:t>covid</w:t>
      </w:r>
      <w:proofErr w:type="spellEnd"/>
      <w:r w:rsidRPr="00231F9D">
        <w:rPr>
          <w:rFonts w:cs="Arial"/>
          <w:szCs w:val="24"/>
        </w:rPr>
        <w:t xml:space="preserve"> home care rate has been agreed for a 3 week period following hospital discharge</w:t>
      </w:r>
    </w:p>
    <w:p w:rsidR="0058705B" w:rsidRPr="00231F9D" w:rsidRDefault="0058705B" w:rsidP="00231F9D">
      <w:pPr>
        <w:pStyle w:val="ListParagraph"/>
        <w:numPr>
          <w:ilvl w:val="0"/>
          <w:numId w:val="48"/>
        </w:numPr>
        <w:ind w:left="1276" w:hanging="567"/>
        <w:contextualSpacing/>
        <w:rPr>
          <w:rFonts w:cs="Arial"/>
          <w:szCs w:val="24"/>
        </w:rPr>
      </w:pPr>
      <w:r w:rsidRPr="00231F9D">
        <w:rPr>
          <w:rFonts w:cs="Arial"/>
          <w:szCs w:val="24"/>
        </w:rPr>
        <w:t>Training on the use of PPE has been delivered and PPE has been provided as requested by providers.</w:t>
      </w:r>
    </w:p>
    <w:p w:rsidR="0058705B" w:rsidRPr="00231F9D" w:rsidRDefault="0058705B" w:rsidP="00231F9D">
      <w:pPr>
        <w:pStyle w:val="ListParagraph"/>
        <w:numPr>
          <w:ilvl w:val="0"/>
          <w:numId w:val="48"/>
        </w:numPr>
        <w:ind w:left="1276" w:hanging="567"/>
        <w:contextualSpacing/>
        <w:rPr>
          <w:rFonts w:cs="Arial"/>
          <w:szCs w:val="24"/>
        </w:rPr>
      </w:pPr>
      <w:r w:rsidRPr="00231F9D">
        <w:rPr>
          <w:rFonts w:cs="Arial"/>
          <w:szCs w:val="24"/>
        </w:rPr>
        <w:t>The</w:t>
      </w:r>
      <w:r w:rsidR="00AF481E">
        <w:rPr>
          <w:rFonts w:cs="Arial"/>
          <w:szCs w:val="24"/>
        </w:rPr>
        <w:t>re</w:t>
      </w:r>
      <w:r w:rsidRPr="00231F9D">
        <w:rPr>
          <w:rFonts w:cs="Arial"/>
          <w:szCs w:val="24"/>
        </w:rPr>
        <w:t xml:space="preserve"> are weekly forums for care home, home care and M</w:t>
      </w:r>
      <w:r w:rsidR="00CA60F9">
        <w:rPr>
          <w:rFonts w:cs="Arial"/>
          <w:szCs w:val="24"/>
        </w:rPr>
        <w:t>ental Health</w:t>
      </w:r>
      <w:r w:rsidRPr="00231F9D">
        <w:rPr>
          <w:rFonts w:cs="Arial"/>
          <w:szCs w:val="24"/>
        </w:rPr>
        <w:t>/L</w:t>
      </w:r>
      <w:r w:rsidR="00CA60F9">
        <w:rPr>
          <w:rFonts w:cs="Arial"/>
          <w:szCs w:val="24"/>
        </w:rPr>
        <w:t>earning Disability</w:t>
      </w:r>
      <w:r w:rsidRPr="00231F9D">
        <w:rPr>
          <w:rFonts w:cs="Arial"/>
          <w:szCs w:val="24"/>
        </w:rPr>
        <w:t xml:space="preserve"> providers to update on </w:t>
      </w:r>
      <w:proofErr w:type="spellStart"/>
      <w:r w:rsidRPr="00231F9D">
        <w:rPr>
          <w:rFonts w:cs="Arial"/>
          <w:szCs w:val="24"/>
        </w:rPr>
        <w:t>covid</w:t>
      </w:r>
      <w:proofErr w:type="spellEnd"/>
      <w:r w:rsidRPr="00231F9D">
        <w:rPr>
          <w:rFonts w:cs="Arial"/>
          <w:szCs w:val="24"/>
        </w:rPr>
        <w:t xml:space="preserve"> matters and representatives include Public Health, ASC Officers, CCG </w:t>
      </w:r>
      <w:r w:rsidR="00AF481E">
        <w:rPr>
          <w:rFonts w:cs="Arial"/>
          <w:szCs w:val="24"/>
        </w:rPr>
        <w:t xml:space="preserve">(Clinical Commissioning Group) </w:t>
      </w:r>
      <w:r w:rsidRPr="00231F9D">
        <w:rPr>
          <w:rFonts w:cs="Arial"/>
          <w:szCs w:val="24"/>
        </w:rPr>
        <w:t>colleagues, including clinical staff.</w:t>
      </w:r>
    </w:p>
    <w:p w:rsidR="0058705B" w:rsidRPr="00231F9D" w:rsidRDefault="0058705B" w:rsidP="00231F9D">
      <w:pPr>
        <w:pStyle w:val="ListParagraph"/>
        <w:numPr>
          <w:ilvl w:val="0"/>
          <w:numId w:val="48"/>
        </w:numPr>
        <w:ind w:left="1276" w:hanging="567"/>
        <w:contextualSpacing/>
        <w:rPr>
          <w:rFonts w:cs="Arial"/>
          <w:szCs w:val="24"/>
        </w:rPr>
      </w:pPr>
      <w:r w:rsidRPr="00231F9D">
        <w:rPr>
          <w:rFonts w:cs="Arial"/>
          <w:szCs w:val="24"/>
        </w:rPr>
        <w:t xml:space="preserve">ASC officers work with providers to </w:t>
      </w:r>
      <w:proofErr w:type="spellStart"/>
      <w:r w:rsidR="00CA60F9">
        <w:rPr>
          <w:rFonts w:cs="Arial"/>
          <w:szCs w:val="24"/>
        </w:rPr>
        <w:t>idenfity</w:t>
      </w:r>
      <w:proofErr w:type="spellEnd"/>
      <w:r w:rsidRPr="00231F9D">
        <w:rPr>
          <w:rFonts w:cs="Arial"/>
          <w:szCs w:val="24"/>
        </w:rPr>
        <w:t xml:space="preserve"> priority care homes to receive testing and the NWL </w:t>
      </w:r>
      <w:r w:rsidR="00AF481E">
        <w:rPr>
          <w:rFonts w:cs="Arial"/>
          <w:szCs w:val="24"/>
        </w:rPr>
        <w:t xml:space="preserve">(North West London) </w:t>
      </w:r>
      <w:r w:rsidRPr="00231F9D">
        <w:rPr>
          <w:rFonts w:cs="Arial"/>
          <w:szCs w:val="24"/>
        </w:rPr>
        <w:t>Enhance Home Care Support Package.</w:t>
      </w:r>
    </w:p>
    <w:p w:rsidR="0058705B" w:rsidRDefault="0058705B" w:rsidP="00231F9D">
      <w:pPr>
        <w:pStyle w:val="Default"/>
        <w:ind w:left="1276" w:hanging="567"/>
      </w:pPr>
    </w:p>
    <w:p w:rsidR="0058705B" w:rsidRDefault="0058705B" w:rsidP="00231F9D">
      <w:pPr>
        <w:pStyle w:val="Default"/>
        <w:numPr>
          <w:ilvl w:val="0"/>
          <w:numId w:val="45"/>
        </w:numPr>
        <w:ind w:left="567" w:hanging="567"/>
      </w:pPr>
      <w:r>
        <w:t xml:space="preserve">Items </w:t>
      </w:r>
      <w:proofErr w:type="spellStart"/>
      <w:r>
        <w:t>i</w:t>
      </w:r>
      <w:proofErr w:type="spellEnd"/>
      <w:r>
        <w:t xml:space="preserve">-iv </w:t>
      </w:r>
      <w:proofErr w:type="gramStart"/>
      <w:r>
        <w:t>have</w:t>
      </w:r>
      <w:proofErr w:type="gramEnd"/>
      <w:r>
        <w:t xml:space="preserve"> a financial implications for the Council which can be calculated with more accuracy once the service delivery information has been submitted by providers. These are costs that are in addition to the proposals for temporary additional </w:t>
      </w:r>
      <w:r w:rsidR="001A092D">
        <w:t>funding</w:t>
      </w:r>
      <w:r>
        <w:t>.</w:t>
      </w:r>
    </w:p>
    <w:p w:rsidR="0058705B" w:rsidRPr="00E26BDA" w:rsidRDefault="0058705B" w:rsidP="00231F9D">
      <w:pPr>
        <w:pStyle w:val="Default"/>
        <w:ind w:left="567" w:hanging="567"/>
      </w:pPr>
    </w:p>
    <w:p w:rsidR="0058705B" w:rsidRPr="00231F9D" w:rsidRDefault="0058705B" w:rsidP="00231F9D">
      <w:pPr>
        <w:rPr>
          <w:rFonts w:cs="Arial"/>
          <w:b/>
          <w:szCs w:val="24"/>
        </w:rPr>
      </w:pPr>
      <w:r w:rsidRPr="00231F9D">
        <w:rPr>
          <w:rFonts w:cs="Arial"/>
          <w:b/>
          <w:szCs w:val="24"/>
        </w:rPr>
        <w:t>Proposals for Financial Support</w:t>
      </w:r>
    </w:p>
    <w:p w:rsidR="001A092D" w:rsidRPr="0005350C" w:rsidRDefault="001A092D" w:rsidP="00231F9D">
      <w:pPr>
        <w:pStyle w:val="ListParagraph"/>
        <w:numPr>
          <w:ilvl w:val="0"/>
          <w:numId w:val="45"/>
        </w:numPr>
        <w:ind w:left="567" w:hanging="567"/>
        <w:rPr>
          <w:rFonts w:cs="Arial"/>
          <w:szCs w:val="24"/>
        </w:rPr>
      </w:pPr>
      <w:r w:rsidRPr="0005350C">
        <w:rPr>
          <w:rFonts w:cs="Arial"/>
          <w:szCs w:val="24"/>
        </w:rPr>
        <w:t>It is proposed that temporary additional funding is allocated to the following providers:</w:t>
      </w:r>
    </w:p>
    <w:p w:rsidR="001A092D" w:rsidRPr="001A092D" w:rsidRDefault="001A092D" w:rsidP="0058705B">
      <w:pPr>
        <w:rPr>
          <w:rFonts w:cs="Arial"/>
          <w:szCs w:val="24"/>
        </w:rPr>
      </w:pPr>
    </w:p>
    <w:p w:rsidR="0058705B" w:rsidRPr="001A092D" w:rsidRDefault="0058705B" w:rsidP="00231F9D">
      <w:pPr>
        <w:pStyle w:val="ListParagraph"/>
        <w:numPr>
          <w:ilvl w:val="0"/>
          <w:numId w:val="47"/>
        </w:numPr>
        <w:ind w:left="1134" w:hanging="567"/>
        <w:rPr>
          <w:rFonts w:cs="Arial"/>
          <w:szCs w:val="24"/>
        </w:rPr>
      </w:pPr>
      <w:r w:rsidRPr="001A092D">
        <w:rPr>
          <w:rFonts w:cs="Arial"/>
          <w:szCs w:val="24"/>
        </w:rPr>
        <w:t>Residential and Nursing Providers</w:t>
      </w:r>
    </w:p>
    <w:p w:rsidR="0058705B" w:rsidRPr="001A092D" w:rsidRDefault="0058705B" w:rsidP="00231F9D">
      <w:pPr>
        <w:pStyle w:val="ListParagraph"/>
        <w:numPr>
          <w:ilvl w:val="0"/>
          <w:numId w:val="47"/>
        </w:numPr>
        <w:ind w:left="1134" w:hanging="567"/>
        <w:rPr>
          <w:rFonts w:cs="Arial"/>
          <w:szCs w:val="24"/>
        </w:rPr>
      </w:pPr>
      <w:r w:rsidRPr="001A092D">
        <w:rPr>
          <w:rFonts w:cs="Arial"/>
          <w:szCs w:val="24"/>
        </w:rPr>
        <w:t>Extra Care Provider</w:t>
      </w:r>
    </w:p>
    <w:p w:rsidR="0058705B" w:rsidRPr="001A092D" w:rsidRDefault="0058705B" w:rsidP="00231F9D">
      <w:pPr>
        <w:pStyle w:val="ListParagraph"/>
        <w:numPr>
          <w:ilvl w:val="0"/>
          <w:numId w:val="47"/>
        </w:numPr>
        <w:ind w:left="1134" w:hanging="567"/>
        <w:rPr>
          <w:rFonts w:cs="Arial"/>
          <w:szCs w:val="24"/>
        </w:rPr>
      </w:pPr>
      <w:r w:rsidRPr="001A092D">
        <w:rPr>
          <w:rFonts w:cs="Arial"/>
          <w:szCs w:val="24"/>
        </w:rPr>
        <w:t xml:space="preserve">Supported Living Providers </w:t>
      </w:r>
    </w:p>
    <w:p w:rsidR="0058705B" w:rsidRPr="001A092D" w:rsidRDefault="0058705B" w:rsidP="00231F9D">
      <w:pPr>
        <w:pStyle w:val="ListParagraph"/>
        <w:numPr>
          <w:ilvl w:val="0"/>
          <w:numId w:val="47"/>
        </w:numPr>
        <w:ind w:left="1134" w:hanging="567"/>
        <w:rPr>
          <w:rFonts w:cs="Arial"/>
          <w:szCs w:val="24"/>
        </w:rPr>
      </w:pPr>
      <w:r w:rsidRPr="001A092D">
        <w:rPr>
          <w:rFonts w:cs="Arial"/>
          <w:szCs w:val="24"/>
        </w:rPr>
        <w:t>Mental Health Providers</w:t>
      </w:r>
      <w:r w:rsidR="002023B3">
        <w:rPr>
          <w:rFonts w:cs="Arial"/>
          <w:szCs w:val="24"/>
        </w:rPr>
        <w:t xml:space="preserve"> (managed by CNWL)</w:t>
      </w:r>
    </w:p>
    <w:p w:rsidR="0058705B" w:rsidRPr="00E26BDA" w:rsidRDefault="0058705B" w:rsidP="0058705B">
      <w:pPr>
        <w:rPr>
          <w:rFonts w:cs="Arial"/>
          <w:szCs w:val="24"/>
        </w:rPr>
      </w:pPr>
    </w:p>
    <w:p w:rsidR="0058705B" w:rsidRPr="00231F9D" w:rsidRDefault="0058705B" w:rsidP="00231F9D">
      <w:pPr>
        <w:rPr>
          <w:rFonts w:cs="Arial"/>
          <w:b/>
          <w:szCs w:val="24"/>
        </w:rPr>
      </w:pPr>
      <w:r w:rsidRPr="00231F9D">
        <w:rPr>
          <w:rFonts w:cs="Arial"/>
          <w:b/>
          <w:szCs w:val="24"/>
        </w:rPr>
        <w:t xml:space="preserve">Temporary Additional Funding Proposals </w:t>
      </w:r>
    </w:p>
    <w:p w:rsidR="0058705B" w:rsidRPr="0005350C" w:rsidRDefault="0058705B" w:rsidP="00231F9D">
      <w:pPr>
        <w:pStyle w:val="ListParagraph"/>
        <w:numPr>
          <w:ilvl w:val="0"/>
          <w:numId w:val="45"/>
        </w:numPr>
        <w:ind w:left="567" w:hanging="567"/>
        <w:rPr>
          <w:rFonts w:cs="Arial"/>
          <w:szCs w:val="24"/>
        </w:rPr>
      </w:pPr>
      <w:r w:rsidRPr="0005350C">
        <w:rPr>
          <w:rFonts w:cs="Arial"/>
          <w:szCs w:val="24"/>
        </w:rPr>
        <w:t>It is proposed that care home, extra care and supported housing and MH providers for all placements commissioned by Harrow are paid a one off additional payment of 5%. The purpose of this payment is to provide financial support to enable the provide</w:t>
      </w:r>
      <w:r w:rsidR="00AF481E">
        <w:rPr>
          <w:rFonts w:cs="Arial"/>
          <w:szCs w:val="24"/>
        </w:rPr>
        <w:t>r</w:t>
      </w:r>
      <w:r w:rsidRPr="0005350C">
        <w:rPr>
          <w:rFonts w:cs="Arial"/>
          <w:szCs w:val="24"/>
        </w:rPr>
        <w:t xml:space="preserve">s to continue their services, pay staff and suppliers, meet additional </w:t>
      </w:r>
      <w:proofErr w:type="spellStart"/>
      <w:r w:rsidRPr="0005350C">
        <w:rPr>
          <w:rFonts w:cs="Arial"/>
          <w:szCs w:val="24"/>
        </w:rPr>
        <w:t>covid</w:t>
      </w:r>
      <w:proofErr w:type="spellEnd"/>
      <w:r w:rsidRPr="0005350C">
        <w:rPr>
          <w:rFonts w:cs="Arial"/>
          <w:szCs w:val="24"/>
        </w:rPr>
        <w:t xml:space="preserve"> related costs and contribute to their resilience to continue operation throughout the </w:t>
      </w:r>
      <w:proofErr w:type="spellStart"/>
      <w:r w:rsidRPr="0005350C">
        <w:rPr>
          <w:rFonts w:cs="Arial"/>
          <w:szCs w:val="24"/>
        </w:rPr>
        <w:t>covid</w:t>
      </w:r>
      <w:proofErr w:type="spellEnd"/>
      <w:r w:rsidRPr="0005350C">
        <w:rPr>
          <w:rFonts w:cs="Arial"/>
          <w:szCs w:val="24"/>
        </w:rPr>
        <w:t xml:space="preserve"> period and the recovery</w:t>
      </w:r>
      <w:r w:rsidR="005C7115">
        <w:rPr>
          <w:rFonts w:cs="Arial"/>
          <w:szCs w:val="24"/>
        </w:rPr>
        <w:t xml:space="preserve"> phase thereafter</w:t>
      </w:r>
      <w:r w:rsidRPr="0005350C">
        <w:rPr>
          <w:rFonts w:cs="Arial"/>
          <w:szCs w:val="24"/>
        </w:rPr>
        <w:t>.</w:t>
      </w:r>
    </w:p>
    <w:p w:rsidR="0058705B" w:rsidRPr="00264062" w:rsidRDefault="0058705B" w:rsidP="00231F9D">
      <w:pPr>
        <w:ind w:left="567" w:hanging="567"/>
        <w:rPr>
          <w:rFonts w:cs="Arial"/>
          <w:szCs w:val="24"/>
        </w:rPr>
      </w:pPr>
    </w:p>
    <w:p w:rsidR="0058705B" w:rsidRPr="0005350C" w:rsidRDefault="0058705B" w:rsidP="00231F9D">
      <w:pPr>
        <w:pStyle w:val="ListParagraph"/>
        <w:numPr>
          <w:ilvl w:val="0"/>
          <w:numId w:val="45"/>
        </w:numPr>
        <w:ind w:left="567" w:hanging="567"/>
        <w:rPr>
          <w:rFonts w:cs="Arial"/>
          <w:szCs w:val="24"/>
        </w:rPr>
      </w:pPr>
      <w:r w:rsidRPr="0005350C">
        <w:rPr>
          <w:rFonts w:cs="Arial"/>
          <w:szCs w:val="24"/>
        </w:rPr>
        <w:t xml:space="preserve">There are frequently cited issues in relation to </w:t>
      </w:r>
      <w:proofErr w:type="spellStart"/>
      <w:r w:rsidRPr="0005350C">
        <w:rPr>
          <w:rFonts w:cs="Arial"/>
          <w:szCs w:val="24"/>
        </w:rPr>
        <w:t>covid</w:t>
      </w:r>
      <w:proofErr w:type="spellEnd"/>
      <w:r w:rsidRPr="0005350C">
        <w:rPr>
          <w:rFonts w:cs="Arial"/>
          <w:szCs w:val="24"/>
        </w:rPr>
        <w:t xml:space="preserve"> from providers </w:t>
      </w:r>
      <w:proofErr w:type="spellStart"/>
      <w:r w:rsidRPr="0005350C">
        <w:rPr>
          <w:rFonts w:cs="Arial"/>
          <w:szCs w:val="24"/>
        </w:rPr>
        <w:t>eg</w:t>
      </w:r>
      <w:proofErr w:type="spellEnd"/>
      <w:r w:rsidRPr="0005350C">
        <w:rPr>
          <w:rFonts w:cs="Arial"/>
          <w:szCs w:val="24"/>
        </w:rPr>
        <w:t xml:space="preserve"> increased staffing costs, training costs, PPE </w:t>
      </w:r>
      <w:proofErr w:type="spellStart"/>
      <w:r w:rsidRPr="0005350C">
        <w:rPr>
          <w:rFonts w:cs="Arial"/>
          <w:szCs w:val="24"/>
        </w:rPr>
        <w:t>etc</w:t>
      </w:r>
      <w:proofErr w:type="spellEnd"/>
      <w:r w:rsidRPr="0005350C">
        <w:rPr>
          <w:rFonts w:cs="Arial"/>
          <w:szCs w:val="24"/>
        </w:rPr>
        <w:t xml:space="preserve"> </w:t>
      </w:r>
      <w:r w:rsidR="00AF481E">
        <w:rPr>
          <w:rFonts w:cs="Arial"/>
          <w:szCs w:val="24"/>
        </w:rPr>
        <w:t xml:space="preserve">and </w:t>
      </w:r>
      <w:r w:rsidRPr="0005350C">
        <w:rPr>
          <w:rFonts w:cs="Arial"/>
          <w:szCs w:val="24"/>
        </w:rPr>
        <w:t xml:space="preserve">the response to these is different across the providers. </w:t>
      </w:r>
      <w:r w:rsidR="00AF481E">
        <w:rPr>
          <w:rFonts w:cs="Arial"/>
          <w:szCs w:val="24"/>
        </w:rPr>
        <w:t>I</w:t>
      </w:r>
      <w:r w:rsidRPr="0005350C">
        <w:rPr>
          <w:rFonts w:cs="Arial"/>
          <w:szCs w:val="24"/>
        </w:rPr>
        <w:t>t is</w:t>
      </w:r>
      <w:r w:rsidR="00AF481E">
        <w:rPr>
          <w:rFonts w:cs="Arial"/>
          <w:szCs w:val="24"/>
        </w:rPr>
        <w:t xml:space="preserve"> therefore</w:t>
      </w:r>
      <w:r w:rsidR="005C7115">
        <w:rPr>
          <w:rFonts w:cs="Arial"/>
          <w:szCs w:val="24"/>
        </w:rPr>
        <w:t xml:space="preserve"> </w:t>
      </w:r>
      <w:r w:rsidRPr="0005350C">
        <w:rPr>
          <w:rFonts w:cs="Arial"/>
          <w:szCs w:val="24"/>
        </w:rPr>
        <w:t xml:space="preserve">proposed to allocate temporary additional funding on a flat rate of 5% to enable providers to manage their cash flow and officers to </w:t>
      </w:r>
      <w:r w:rsidR="005C7115">
        <w:rPr>
          <w:rFonts w:cs="Arial"/>
          <w:szCs w:val="24"/>
        </w:rPr>
        <w:t xml:space="preserve">deliver the financial support expediently </w:t>
      </w:r>
      <w:r w:rsidRPr="0005350C">
        <w:rPr>
          <w:rFonts w:cs="Arial"/>
          <w:szCs w:val="24"/>
        </w:rPr>
        <w:t>avoiding excessive bureaucracy.</w:t>
      </w:r>
    </w:p>
    <w:p w:rsidR="0058705B" w:rsidRDefault="0058705B" w:rsidP="00231F9D">
      <w:pPr>
        <w:ind w:left="567" w:hanging="567"/>
        <w:rPr>
          <w:rFonts w:cs="Arial"/>
          <w:szCs w:val="24"/>
        </w:rPr>
      </w:pPr>
    </w:p>
    <w:p w:rsidR="0058705B" w:rsidRPr="0005350C" w:rsidRDefault="0058705B" w:rsidP="00231F9D">
      <w:pPr>
        <w:pStyle w:val="ListParagraph"/>
        <w:numPr>
          <w:ilvl w:val="0"/>
          <w:numId w:val="45"/>
        </w:numPr>
        <w:ind w:left="567" w:hanging="567"/>
        <w:rPr>
          <w:rFonts w:cs="Arial"/>
          <w:szCs w:val="24"/>
        </w:rPr>
      </w:pPr>
      <w:r w:rsidRPr="0005350C">
        <w:rPr>
          <w:rFonts w:cs="Arial"/>
          <w:szCs w:val="24"/>
        </w:rPr>
        <w:t>The 5% is based on additional staffing costs using the proxy of the impact of the increase to the National Living Wage (NLW) from 1</w:t>
      </w:r>
      <w:r w:rsidRPr="0005350C">
        <w:rPr>
          <w:rFonts w:cs="Arial"/>
          <w:szCs w:val="24"/>
          <w:vertAlign w:val="superscript"/>
        </w:rPr>
        <w:t>st</w:t>
      </w:r>
      <w:r w:rsidRPr="0005350C">
        <w:rPr>
          <w:rFonts w:cs="Arial"/>
          <w:szCs w:val="24"/>
        </w:rPr>
        <w:t xml:space="preserve"> April to 6.2% (affects approx. 70% of costs) and 2.5% on other costs (30%). </w:t>
      </w:r>
      <w:r w:rsidR="001A092D" w:rsidRPr="0005350C">
        <w:rPr>
          <w:rFonts w:cs="Arial"/>
          <w:szCs w:val="24"/>
        </w:rPr>
        <w:t xml:space="preserve"> </w:t>
      </w:r>
    </w:p>
    <w:p w:rsidR="001A092D" w:rsidRDefault="001A092D" w:rsidP="00231F9D">
      <w:pPr>
        <w:ind w:left="567" w:hanging="567"/>
        <w:rPr>
          <w:rFonts w:cs="Arial"/>
          <w:szCs w:val="24"/>
        </w:rPr>
      </w:pPr>
    </w:p>
    <w:p w:rsidR="0058705B" w:rsidRPr="0005350C" w:rsidRDefault="0058705B" w:rsidP="00231F9D">
      <w:pPr>
        <w:pStyle w:val="ListParagraph"/>
        <w:numPr>
          <w:ilvl w:val="0"/>
          <w:numId w:val="45"/>
        </w:numPr>
        <w:ind w:left="567" w:hanging="567"/>
        <w:rPr>
          <w:rFonts w:cs="Arial"/>
          <w:szCs w:val="24"/>
        </w:rPr>
      </w:pPr>
      <w:r w:rsidRPr="0005350C">
        <w:rPr>
          <w:rFonts w:cs="Arial"/>
          <w:szCs w:val="24"/>
        </w:rPr>
        <w:t>The 5% additional temporary payment will be calculated on the weekly rate paid to providers for existing care home packages as at 23</w:t>
      </w:r>
      <w:r w:rsidRPr="0005350C">
        <w:rPr>
          <w:rFonts w:cs="Arial"/>
          <w:szCs w:val="24"/>
          <w:vertAlign w:val="superscript"/>
        </w:rPr>
        <w:t>rd</w:t>
      </w:r>
      <w:r w:rsidRPr="0005350C">
        <w:rPr>
          <w:rFonts w:cs="Arial"/>
          <w:szCs w:val="24"/>
        </w:rPr>
        <w:t xml:space="preserve"> March 2020 (consistent with the changes in payments to home care providers) for the three month period until the end of June.</w:t>
      </w:r>
    </w:p>
    <w:p w:rsidR="0058705B" w:rsidRDefault="0058705B" w:rsidP="00231F9D">
      <w:pPr>
        <w:ind w:left="567" w:hanging="567"/>
        <w:rPr>
          <w:rFonts w:cs="Arial"/>
          <w:szCs w:val="24"/>
        </w:rPr>
      </w:pPr>
    </w:p>
    <w:p w:rsidR="004C6A9A" w:rsidRPr="0005350C" w:rsidRDefault="004C6A9A" w:rsidP="00231F9D">
      <w:pPr>
        <w:pStyle w:val="ListParagraph"/>
        <w:numPr>
          <w:ilvl w:val="0"/>
          <w:numId w:val="45"/>
        </w:numPr>
        <w:ind w:left="567" w:hanging="567"/>
        <w:rPr>
          <w:rFonts w:cs="Arial"/>
          <w:szCs w:val="24"/>
        </w:rPr>
      </w:pPr>
      <w:r w:rsidRPr="0005350C">
        <w:rPr>
          <w:rFonts w:cs="Arial"/>
          <w:szCs w:val="24"/>
        </w:rPr>
        <w:t xml:space="preserve">An approach that agrees temporary funding on a quarterly basis will give the providers more certainty while enabling the local authority to adjust its approach in the light of the </w:t>
      </w:r>
      <w:proofErr w:type="spellStart"/>
      <w:r w:rsidRPr="0005350C">
        <w:rPr>
          <w:rFonts w:cs="Arial"/>
          <w:szCs w:val="24"/>
        </w:rPr>
        <w:t>covid</w:t>
      </w:r>
      <w:proofErr w:type="spellEnd"/>
      <w:r w:rsidRPr="0005350C">
        <w:rPr>
          <w:rFonts w:cs="Arial"/>
          <w:szCs w:val="24"/>
        </w:rPr>
        <w:t xml:space="preserve"> situation, provider needs and government funding.</w:t>
      </w:r>
    </w:p>
    <w:p w:rsidR="004C6A9A" w:rsidRDefault="004C6A9A" w:rsidP="00231F9D">
      <w:pPr>
        <w:ind w:left="567" w:hanging="567"/>
        <w:rPr>
          <w:rFonts w:cs="Arial"/>
          <w:szCs w:val="24"/>
        </w:rPr>
      </w:pPr>
    </w:p>
    <w:p w:rsidR="0058705B" w:rsidRPr="0005350C" w:rsidRDefault="0058705B" w:rsidP="00231F9D">
      <w:pPr>
        <w:pStyle w:val="ListParagraph"/>
        <w:numPr>
          <w:ilvl w:val="0"/>
          <w:numId w:val="45"/>
        </w:numPr>
        <w:ind w:left="567" w:hanging="567"/>
        <w:rPr>
          <w:rFonts w:cs="Arial"/>
          <w:szCs w:val="24"/>
        </w:rPr>
      </w:pPr>
      <w:r w:rsidRPr="0005350C">
        <w:rPr>
          <w:rFonts w:cs="Arial"/>
          <w:szCs w:val="24"/>
        </w:rPr>
        <w:t>The temporary additional payment would not be re-calculated during the agreed period or quarter. This would mean that the additional payment would not be adjusted if the package was ceased or reduced. Similarly, it would not be recalculated if a package was increased following an assessment during the period or quarter.</w:t>
      </w:r>
    </w:p>
    <w:p w:rsidR="0058705B" w:rsidRDefault="0058705B" w:rsidP="00231F9D">
      <w:pPr>
        <w:ind w:left="567" w:hanging="567"/>
        <w:rPr>
          <w:rFonts w:cs="Arial"/>
          <w:szCs w:val="24"/>
        </w:rPr>
      </w:pPr>
    </w:p>
    <w:p w:rsidR="0058705B" w:rsidRPr="0005350C" w:rsidRDefault="0058705B" w:rsidP="00231F9D">
      <w:pPr>
        <w:pStyle w:val="ListParagraph"/>
        <w:numPr>
          <w:ilvl w:val="0"/>
          <w:numId w:val="45"/>
        </w:numPr>
        <w:ind w:left="567" w:hanging="567"/>
        <w:rPr>
          <w:rFonts w:cs="Arial"/>
          <w:szCs w:val="24"/>
        </w:rPr>
      </w:pPr>
      <w:r w:rsidRPr="0005350C">
        <w:rPr>
          <w:rFonts w:cs="Arial"/>
          <w:szCs w:val="24"/>
        </w:rPr>
        <w:t xml:space="preserve">These initial additional temporary funding proposals are for the period from March to the end of June – Phase 1. As it is anticipated that there will be a second and possibly a third surge </w:t>
      </w:r>
      <w:r w:rsidR="00914F31" w:rsidRPr="0005350C">
        <w:rPr>
          <w:rFonts w:cs="Arial"/>
          <w:szCs w:val="24"/>
        </w:rPr>
        <w:t>of infection</w:t>
      </w:r>
      <w:r w:rsidRPr="0005350C">
        <w:rPr>
          <w:rFonts w:cs="Arial"/>
          <w:szCs w:val="24"/>
        </w:rPr>
        <w:t>, it is likely that there will be a need for continuing or further temporary additional funding for providers. In this context</w:t>
      </w:r>
      <w:r w:rsidR="00AF481E">
        <w:rPr>
          <w:rFonts w:cs="Arial"/>
          <w:szCs w:val="24"/>
        </w:rPr>
        <w:t>,</w:t>
      </w:r>
      <w:r w:rsidRPr="0005350C">
        <w:rPr>
          <w:rFonts w:cs="Arial"/>
          <w:szCs w:val="24"/>
        </w:rPr>
        <w:t xml:space="preserve"> officers will consider additional temporary funding on a quarterly basis and </w:t>
      </w:r>
      <w:r w:rsidR="004C6A9A" w:rsidRPr="0005350C">
        <w:rPr>
          <w:rFonts w:cs="Arial"/>
          <w:szCs w:val="24"/>
        </w:rPr>
        <w:t xml:space="preserve">develop </w:t>
      </w:r>
      <w:r w:rsidRPr="0005350C">
        <w:rPr>
          <w:rFonts w:cs="Arial"/>
          <w:szCs w:val="24"/>
        </w:rPr>
        <w:t>funding levels accordingly</w:t>
      </w:r>
      <w:r w:rsidR="004C6A9A" w:rsidRPr="0005350C">
        <w:rPr>
          <w:rFonts w:cs="Arial"/>
          <w:szCs w:val="24"/>
        </w:rPr>
        <w:t>.</w:t>
      </w:r>
    </w:p>
    <w:p w:rsidR="0058705B" w:rsidRDefault="0058705B" w:rsidP="00231F9D">
      <w:pPr>
        <w:ind w:left="567" w:hanging="567"/>
        <w:rPr>
          <w:rFonts w:cs="Arial"/>
          <w:szCs w:val="24"/>
        </w:rPr>
      </w:pPr>
    </w:p>
    <w:p w:rsidR="0058705B" w:rsidRPr="0005350C" w:rsidRDefault="0058705B" w:rsidP="00231F9D">
      <w:pPr>
        <w:pStyle w:val="ListParagraph"/>
        <w:numPr>
          <w:ilvl w:val="0"/>
          <w:numId w:val="45"/>
        </w:numPr>
        <w:ind w:left="567" w:hanging="567"/>
        <w:rPr>
          <w:rFonts w:cs="Arial"/>
          <w:szCs w:val="24"/>
        </w:rPr>
      </w:pPr>
      <w:r w:rsidRPr="0005350C">
        <w:rPr>
          <w:rFonts w:cs="Arial"/>
          <w:szCs w:val="24"/>
        </w:rPr>
        <w:t>If the situation becomes more stable</w:t>
      </w:r>
      <w:r w:rsidR="00EF5D3F">
        <w:rPr>
          <w:rFonts w:cs="Arial"/>
          <w:szCs w:val="24"/>
        </w:rPr>
        <w:t>,</w:t>
      </w:r>
      <w:r w:rsidRPr="0005350C">
        <w:rPr>
          <w:rFonts w:cs="Arial"/>
          <w:szCs w:val="24"/>
        </w:rPr>
        <w:t xml:space="preserve"> for example</w:t>
      </w:r>
      <w:r w:rsidR="00EF5D3F">
        <w:rPr>
          <w:rFonts w:cs="Arial"/>
          <w:szCs w:val="24"/>
        </w:rPr>
        <w:t>,</w:t>
      </w:r>
      <w:r w:rsidRPr="0005350C">
        <w:rPr>
          <w:rFonts w:cs="Arial"/>
          <w:szCs w:val="24"/>
        </w:rPr>
        <w:t xml:space="preserve"> in terms of availability of staff, PPE supplies, support to providers for testing</w:t>
      </w:r>
      <w:r w:rsidR="00EF5D3F">
        <w:rPr>
          <w:rFonts w:cs="Arial"/>
          <w:szCs w:val="24"/>
        </w:rPr>
        <w:t>,</w:t>
      </w:r>
      <w:r w:rsidRPr="0005350C">
        <w:rPr>
          <w:rFonts w:cs="Arial"/>
          <w:szCs w:val="24"/>
        </w:rPr>
        <w:t xml:space="preserve"> it might be possible to adopt a sliding scale of financial support </w:t>
      </w:r>
      <w:r w:rsidR="005C7115">
        <w:rPr>
          <w:rFonts w:cs="Arial"/>
          <w:szCs w:val="24"/>
        </w:rPr>
        <w:t>for any possible future phases of support. For example</w:t>
      </w:r>
      <w:r w:rsidRPr="0005350C">
        <w:rPr>
          <w:rFonts w:cs="Arial"/>
          <w:szCs w:val="24"/>
        </w:rPr>
        <w:t xml:space="preserve"> 4% for additional funding for Phase 2 (July to end of September), and Phase 3 (October to end of December) temp</w:t>
      </w:r>
      <w:r w:rsidR="004C6A9A" w:rsidRPr="0005350C">
        <w:rPr>
          <w:rFonts w:cs="Arial"/>
          <w:szCs w:val="24"/>
        </w:rPr>
        <w:t>orary additional funding at 3%. This position will be monitored closely</w:t>
      </w:r>
      <w:r w:rsidR="00C81F03">
        <w:rPr>
          <w:rFonts w:cs="Arial"/>
          <w:szCs w:val="24"/>
        </w:rPr>
        <w:t xml:space="preserve"> and reported accordingly</w:t>
      </w:r>
      <w:r w:rsidR="004C6A9A" w:rsidRPr="0005350C">
        <w:rPr>
          <w:rFonts w:cs="Arial"/>
          <w:szCs w:val="24"/>
        </w:rPr>
        <w:t xml:space="preserve">. </w:t>
      </w:r>
    </w:p>
    <w:p w:rsidR="004C6A9A" w:rsidRDefault="004C6A9A" w:rsidP="00231F9D">
      <w:pPr>
        <w:ind w:left="567" w:hanging="567"/>
        <w:rPr>
          <w:rFonts w:cs="Arial"/>
          <w:szCs w:val="24"/>
        </w:rPr>
      </w:pPr>
    </w:p>
    <w:p w:rsidR="004C6A9A" w:rsidRPr="0005350C" w:rsidRDefault="004C6A9A" w:rsidP="00231F9D">
      <w:pPr>
        <w:pStyle w:val="ListParagraph"/>
        <w:numPr>
          <w:ilvl w:val="0"/>
          <w:numId w:val="45"/>
        </w:numPr>
        <w:ind w:left="567" w:hanging="567"/>
        <w:rPr>
          <w:rFonts w:cs="Arial"/>
          <w:szCs w:val="24"/>
        </w:rPr>
      </w:pPr>
      <w:r w:rsidRPr="0005350C">
        <w:rPr>
          <w:rFonts w:cs="Arial"/>
          <w:szCs w:val="24"/>
        </w:rPr>
        <w:t xml:space="preserve">Cabinet will be requested to consider further proposals for temporary additional funding payments at their meeting in May </w:t>
      </w:r>
      <w:r w:rsidR="00EF5D3F">
        <w:rPr>
          <w:rFonts w:cs="Arial"/>
          <w:szCs w:val="24"/>
        </w:rPr>
        <w:t xml:space="preserve">2020 </w:t>
      </w:r>
      <w:r w:rsidRPr="0005350C">
        <w:rPr>
          <w:rFonts w:cs="Arial"/>
          <w:szCs w:val="24"/>
        </w:rPr>
        <w:t xml:space="preserve">to enable the </w:t>
      </w:r>
      <w:r w:rsidR="00025896">
        <w:rPr>
          <w:rFonts w:cs="Arial"/>
          <w:szCs w:val="24"/>
        </w:rPr>
        <w:t>C</w:t>
      </w:r>
      <w:r w:rsidRPr="0005350C">
        <w:rPr>
          <w:rFonts w:cs="Arial"/>
          <w:szCs w:val="24"/>
        </w:rPr>
        <w:t>ouncil to make further payments beyond the end of June as necessary.</w:t>
      </w:r>
    </w:p>
    <w:p w:rsidR="0058705B" w:rsidRPr="002D6CF1" w:rsidRDefault="0058705B" w:rsidP="00231F9D">
      <w:pPr>
        <w:ind w:left="567" w:hanging="567"/>
        <w:rPr>
          <w:rFonts w:cs="Arial"/>
          <w:szCs w:val="24"/>
        </w:rPr>
      </w:pPr>
    </w:p>
    <w:p w:rsidR="0058705B" w:rsidRPr="00231F9D" w:rsidRDefault="0058705B" w:rsidP="00231F9D">
      <w:pPr>
        <w:rPr>
          <w:rFonts w:cs="Arial"/>
          <w:b/>
          <w:szCs w:val="24"/>
        </w:rPr>
      </w:pPr>
      <w:r w:rsidRPr="00231F9D">
        <w:rPr>
          <w:rFonts w:cs="Arial"/>
          <w:b/>
          <w:szCs w:val="24"/>
        </w:rPr>
        <w:t>Annual Up-Lifts</w:t>
      </w:r>
    </w:p>
    <w:p w:rsidR="0058705B" w:rsidRPr="0005350C" w:rsidRDefault="0058705B" w:rsidP="00231F9D">
      <w:pPr>
        <w:pStyle w:val="ListParagraph"/>
        <w:numPr>
          <w:ilvl w:val="0"/>
          <w:numId w:val="45"/>
        </w:numPr>
        <w:ind w:left="567" w:hanging="567"/>
        <w:rPr>
          <w:rFonts w:cs="Arial"/>
          <w:szCs w:val="24"/>
        </w:rPr>
      </w:pPr>
      <w:r w:rsidRPr="0005350C">
        <w:rPr>
          <w:rFonts w:cs="Arial"/>
          <w:szCs w:val="24"/>
        </w:rPr>
        <w:t xml:space="preserve">The process to agree annual up-lifts has not commenced at this time. Packages are spot purchased and the up-lifts are agreed on a case by case basis. The uplifts will be considered separately, because these are on-going financial commitments arising from the increases. Additional </w:t>
      </w:r>
      <w:proofErr w:type="spellStart"/>
      <w:r w:rsidRPr="0005350C">
        <w:rPr>
          <w:rFonts w:cs="Arial"/>
          <w:szCs w:val="24"/>
        </w:rPr>
        <w:t>covid</w:t>
      </w:r>
      <w:proofErr w:type="spellEnd"/>
      <w:r w:rsidRPr="0005350C">
        <w:rPr>
          <w:rFonts w:cs="Arial"/>
          <w:szCs w:val="24"/>
        </w:rPr>
        <w:t xml:space="preserve"> related costs are specific and time limited and one-off in nature.</w:t>
      </w:r>
    </w:p>
    <w:p w:rsidR="0058705B" w:rsidRDefault="0058705B" w:rsidP="00231F9D">
      <w:pPr>
        <w:ind w:left="567" w:hanging="567"/>
        <w:rPr>
          <w:rFonts w:cs="Arial"/>
          <w:szCs w:val="24"/>
        </w:rPr>
      </w:pPr>
    </w:p>
    <w:p w:rsidR="0058705B" w:rsidRPr="0005350C" w:rsidRDefault="0058705B" w:rsidP="00231F9D">
      <w:pPr>
        <w:pStyle w:val="ListParagraph"/>
        <w:numPr>
          <w:ilvl w:val="0"/>
          <w:numId w:val="45"/>
        </w:numPr>
        <w:ind w:left="567" w:hanging="567"/>
        <w:rPr>
          <w:rFonts w:cs="Arial"/>
          <w:szCs w:val="24"/>
        </w:rPr>
      </w:pPr>
      <w:r w:rsidRPr="0005350C">
        <w:rPr>
          <w:rFonts w:cs="Arial"/>
          <w:szCs w:val="24"/>
        </w:rPr>
        <w:t xml:space="preserve">Officers will be undertaking the process to agree Annual Up-lifts during the </w:t>
      </w:r>
      <w:proofErr w:type="gramStart"/>
      <w:r w:rsidRPr="0005350C">
        <w:rPr>
          <w:rFonts w:cs="Arial"/>
          <w:szCs w:val="24"/>
        </w:rPr>
        <w:t>Summer</w:t>
      </w:r>
      <w:proofErr w:type="gramEnd"/>
      <w:r w:rsidRPr="0005350C">
        <w:rPr>
          <w:rFonts w:cs="Arial"/>
          <w:szCs w:val="24"/>
        </w:rPr>
        <w:t xml:space="preserve">. The ADASS framework in relation to NWL and cost inflation will be considered in negations with providers. The funding available for the up-lifts agreed as part of the 2020-21 </w:t>
      </w:r>
      <w:r w:rsidR="00497526">
        <w:rPr>
          <w:rFonts w:cs="Arial"/>
          <w:szCs w:val="24"/>
        </w:rPr>
        <w:t>Medium Term Financial Strategy (</w:t>
      </w:r>
      <w:r w:rsidRPr="0005350C">
        <w:rPr>
          <w:rFonts w:cs="Arial"/>
          <w:szCs w:val="24"/>
        </w:rPr>
        <w:t>MTFS</w:t>
      </w:r>
      <w:r w:rsidR="00497526">
        <w:rPr>
          <w:rFonts w:cs="Arial"/>
          <w:szCs w:val="24"/>
        </w:rPr>
        <w:t>)</w:t>
      </w:r>
      <w:r w:rsidRPr="0005350C">
        <w:rPr>
          <w:rFonts w:cs="Arial"/>
          <w:szCs w:val="24"/>
        </w:rPr>
        <w:t xml:space="preserve"> is £700k. If there are annual up-lifts during this time there will not be any re-calculation of the temporary additional funding. If there is a continuing need for temporary additional payments these will be based on the fee rate as at the first month of the payment </w:t>
      </w:r>
      <w:proofErr w:type="spellStart"/>
      <w:r w:rsidRPr="0005350C">
        <w:rPr>
          <w:rFonts w:cs="Arial"/>
          <w:szCs w:val="24"/>
        </w:rPr>
        <w:lastRenderedPageBreak/>
        <w:t>eg</w:t>
      </w:r>
      <w:proofErr w:type="spellEnd"/>
      <w:r w:rsidRPr="0005350C">
        <w:rPr>
          <w:rFonts w:cs="Arial"/>
          <w:szCs w:val="24"/>
        </w:rPr>
        <w:t xml:space="preserve"> July. This would therefore be based on any up-lifted rates, but not back dated.</w:t>
      </w:r>
    </w:p>
    <w:p w:rsidR="00497526" w:rsidRDefault="00497526" w:rsidP="00231F9D">
      <w:pPr>
        <w:ind w:left="567" w:hanging="567"/>
        <w:rPr>
          <w:rFonts w:cs="Arial"/>
          <w:szCs w:val="24"/>
        </w:rPr>
      </w:pPr>
    </w:p>
    <w:p w:rsidR="0058705B" w:rsidRPr="00231F9D" w:rsidRDefault="0058705B" w:rsidP="00231F9D">
      <w:pPr>
        <w:rPr>
          <w:rFonts w:cs="Arial"/>
          <w:b/>
          <w:szCs w:val="24"/>
        </w:rPr>
      </w:pPr>
      <w:r w:rsidRPr="00231F9D">
        <w:rPr>
          <w:rFonts w:cs="Arial"/>
          <w:b/>
          <w:szCs w:val="24"/>
        </w:rPr>
        <w:t>Joint Packages with Health</w:t>
      </w:r>
    </w:p>
    <w:p w:rsidR="0058705B" w:rsidRPr="0005350C" w:rsidRDefault="0058705B" w:rsidP="00231F9D">
      <w:pPr>
        <w:pStyle w:val="ListParagraph"/>
        <w:numPr>
          <w:ilvl w:val="0"/>
          <w:numId w:val="45"/>
        </w:numPr>
        <w:ind w:left="567" w:hanging="567"/>
        <w:rPr>
          <w:rFonts w:cs="Arial"/>
          <w:szCs w:val="24"/>
        </w:rPr>
      </w:pPr>
      <w:r w:rsidRPr="0005350C">
        <w:rPr>
          <w:rFonts w:cs="Arial"/>
          <w:szCs w:val="24"/>
        </w:rPr>
        <w:t xml:space="preserve">The temporary additional payments will be calculated on the total package cost including health contribution, where appropriate. It is the intention that the Local Authority </w:t>
      </w:r>
      <w:r w:rsidR="00497526">
        <w:rPr>
          <w:rFonts w:cs="Arial"/>
          <w:szCs w:val="24"/>
        </w:rPr>
        <w:t xml:space="preserve">(LA) </w:t>
      </w:r>
      <w:r w:rsidRPr="0005350C">
        <w:rPr>
          <w:rFonts w:cs="Arial"/>
          <w:szCs w:val="24"/>
        </w:rPr>
        <w:t xml:space="preserve">will recharge the additional temporary costs to the </w:t>
      </w:r>
      <w:proofErr w:type="gramStart"/>
      <w:r w:rsidRPr="0005350C">
        <w:rPr>
          <w:rFonts w:cs="Arial"/>
          <w:szCs w:val="24"/>
        </w:rPr>
        <w:t>CCG,</w:t>
      </w:r>
      <w:proofErr w:type="gramEnd"/>
      <w:r w:rsidRPr="0005350C">
        <w:rPr>
          <w:rFonts w:cs="Arial"/>
          <w:szCs w:val="24"/>
        </w:rPr>
        <w:t xml:space="preserve"> however, </w:t>
      </w:r>
      <w:r w:rsidR="001A092D" w:rsidRPr="0005350C">
        <w:rPr>
          <w:rFonts w:cs="Arial"/>
          <w:szCs w:val="24"/>
        </w:rPr>
        <w:t xml:space="preserve">this </w:t>
      </w:r>
      <w:r w:rsidR="00497526">
        <w:rPr>
          <w:rFonts w:cs="Arial"/>
          <w:szCs w:val="24"/>
        </w:rPr>
        <w:t xml:space="preserve">will </w:t>
      </w:r>
      <w:r w:rsidR="001A092D" w:rsidRPr="0005350C">
        <w:rPr>
          <w:rFonts w:cs="Arial"/>
          <w:szCs w:val="24"/>
        </w:rPr>
        <w:t>need to be discussed and agreed.</w:t>
      </w:r>
    </w:p>
    <w:p w:rsidR="0058705B" w:rsidRDefault="0058705B" w:rsidP="00231F9D">
      <w:pPr>
        <w:ind w:left="567" w:hanging="567"/>
        <w:rPr>
          <w:rFonts w:cs="Arial"/>
          <w:szCs w:val="24"/>
        </w:rPr>
      </w:pPr>
    </w:p>
    <w:p w:rsidR="0058705B" w:rsidRPr="0005350C" w:rsidRDefault="0058705B" w:rsidP="00231F9D">
      <w:pPr>
        <w:pStyle w:val="ListParagraph"/>
        <w:numPr>
          <w:ilvl w:val="0"/>
          <w:numId w:val="45"/>
        </w:numPr>
        <w:ind w:left="567" w:hanging="567"/>
        <w:rPr>
          <w:rFonts w:cs="Arial"/>
          <w:szCs w:val="24"/>
        </w:rPr>
      </w:pPr>
      <w:r w:rsidRPr="0005350C">
        <w:rPr>
          <w:rFonts w:cs="Arial"/>
          <w:szCs w:val="24"/>
        </w:rPr>
        <w:t xml:space="preserve">In some instances the provider may be receiving funding from the CCG on which the LA is not </w:t>
      </w:r>
      <w:r w:rsidR="00CA60F9">
        <w:rPr>
          <w:rFonts w:cs="Arial"/>
          <w:szCs w:val="24"/>
        </w:rPr>
        <w:t>informed</w:t>
      </w:r>
      <w:r w:rsidRPr="0005350C">
        <w:rPr>
          <w:rFonts w:cs="Arial"/>
          <w:szCs w:val="24"/>
        </w:rPr>
        <w:t xml:space="preserve">. Where this issue arises, </w:t>
      </w:r>
      <w:r w:rsidR="00497526">
        <w:rPr>
          <w:rFonts w:cs="Arial"/>
          <w:szCs w:val="24"/>
        </w:rPr>
        <w:t>o</w:t>
      </w:r>
      <w:r w:rsidR="00497526" w:rsidRPr="0005350C">
        <w:rPr>
          <w:rFonts w:cs="Arial"/>
          <w:szCs w:val="24"/>
        </w:rPr>
        <w:t xml:space="preserve">fficers </w:t>
      </w:r>
      <w:r w:rsidRPr="0005350C">
        <w:rPr>
          <w:rFonts w:cs="Arial"/>
          <w:szCs w:val="24"/>
        </w:rPr>
        <w:t xml:space="preserve">will seek to resolve with the provider and CCG. The initial position for the LA will be to secure the funding from the CCG. </w:t>
      </w:r>
    </w:p>
    <w:p w:rsidR="0058705B" w:rsidRDefault="0058705B" w:rsidP="0058705B">
      <w:pPr>
        <w:rPr>
          <w:rFonts w:cs="Arial"/>
          <w:szCs w:val="24"/>
        </w:rPr>
      </w:pPr>
    </w:p>
    <w:p w:rsidR="0058705B" w:rsidRPr="00231F9D" w:rsidRDefault="007537BF" w:rsidP="00231F9D">
      <w:pPr>
        <w:rPr>
          <w:rFonts w:cs="Arial"/>
        </w:rPr>
      </w:pPr>
      <w:r w:rsidRPr="00231F9D">
        <w:rPr>
          <w:rFonts w:cs="Arial"/>
          <w:b/>
          <w:szCs w:val="24"/>
        </w:rPr>
        <w:t>Self-Funders</w:t>
      </w:r>
    </w:p>
    <w:p w:rsidR="0058705B" w:rsidRPr="0005350C" w:rsidRDefault="0058705B" w:rsidP="00231F9D">
      <w:pPr>
        <w:pStyle w:val="ListParagraph"/>
        <w:numPr>
          <w:ilvl w:val="0"/>
          <w:numId w:val="45"/>
        </w:numPr>
        <w:ind w:left="567" w:hanging="567"/>
        <w:rPr>
          <w:rFonts w:cs="Arial"/>
          <w:szCs w:val="24"/>
        </w:rPr>
      </w:pPr>
      <w:r w:rsidRPr="0005350C">
        <w:rPr>
          <w:rFonts w:cs="Arial"/>
          <w:szCs w:val="24"/>
        </w:rPr>
        <w:t xml:space="preserve">The temporary additional funding includes payment for care provided to </w:t>
      </w:r>
      <w:r w:rsidR="007537BF" w:rsidRPr="0005350C">
        <w:rPr>
          <w:rFonts w:cs="Arial"/>
          <w:szCs w:val="24"/>
        </w:rPr>
        <w:t>self-funders</w:t>
      </w:r>
      <w:r w:rsidRPr="0005350C">
        <w:rPr>
          <w:rFonts w:cs="Arial"/>
          <w:szCs w:val="24"/>
        </w:rPr>
        <w:t>, and this increased cost is not proposed to be passed onto the citizens.</w:t>
      </w:r>
    </w:p>
    <w:p w:rsidR="0058705B" w:rsidRDefault="0058705B" w:rsidP="0058705B"/>
    <w:p w:rsidR="0058705B" w:rsidRPr="00231F9D" w:rsidRDefault="0058705B" w:rsidP="00231F9D">
      <w:pPr>
        <w:rPr>
          <w:rFonts w:cs="Arial"/>
          <w:b/>
          <w:szCs w:val="24"/>
        </w:rPr>
      </w:pPr>
      <w:r w:rsidRPr="00231F9D">
        <w:rPr>
          <w:rFonts w:cs="Arial"/>
          <w:b/>
          <w:szCs w:val="24"/>
        </w:rPr>
        <w:t>Non-Commissioned Providers in Harrow</w:t>
      </w:r>
    </w:p>
    <w:p w:rsidR="0058705B" w:rsidRPr="0005350C" w:rsidRDefault="0058705B" w:rsidP="00231F9D">
      <w:pPr>
        <w:pStyle w:val="ListParagraph"/>
        <w:numPr>
          <w:ilvl w:val="0"/>
          <w:numId w:val="45"/>
        </w:numPr>
        <w:ind w:left="567" w:hanging="567"/>
        <w:rPr>
          <w:rFonts w:cs="Arial"/>
          <w:szCs w:val="24"/>
        </w:rPr>
      </w:pPr>
      <w:r w:rsidRPr="0005350C">
        <w:rPr>
          <w:rFonts w:cs="Arial"/>
          <w:szCs w:val="24"/>
        </w:rPr>
        <w:t xml:space="preserve">For the initial </w:t>
      </w:r>
      <w:r w:rsidR="005C7115">
        <w:rPr>
          <w:rFonts w:cs="Arial"/>
          <w:szCs w:val="24"/>
        </w:rPr>
        <w:t>financial support</w:t>
      </w:r>
      <w:r w:rsidR="005C7115" w:rsidRPr="0005350C">
        <w:rPr>
          <w:rFonts w:cs="Arial"/>
          <w:szCs w:val="24"/>
        </w:rPr>
        <w:t xml:space="preserve"> </w:t>
      </w:r>
      <w:r w:rsidRPr="0005350C">
        <w:rPr>
          <w:rFonts w:cs="Arial"/>
          <w:szCs w:val="24"/>
        </w:rPr>
        <w:t xml:space="preserve">it is not proposed to fund care providers in Harrow where the Council have not commissioned any placements.  Where providers in Harrow have seen a significant reduction in income following a drop in placements arising from the emergency, the Council may consider working with these organisations to provide support whilst looking to develop longer term block arrangements </w:t>
      </w:r>
      <w:r w:rsidR="00CA60F9">
        <w:rPr>
          <w:rFonts w:cs="Arial"/>
          <w:szCs w:val="24"/>
        </w:rPr>
        <w:t xml:space="preserve">as part of a future </w:t>
      </w:r>
      <w:r w:rsidRPr="0005350C">
        <w:rPr>
          <w:rFonts w:cs="Arial"/>
          <w:szCs w:val="24"/>
        </w:rPr>
        <w:t>commissioning strategy. This will be considered separately and at an appropriate time.</w:t>
      </w:r>
    </w:p>
    <w:p w:rsidR="0058705B" w:rsidRPr="00E26BDA" w:rsidRDefault="0058705B" w:rsidP="0058705B">
      <w:pPr>
        <w:pStyle w:val="Default"/>
      </w:pPr>
    </w:p>
    <w:p w:rsidR="005052B6" w:rsidRDefault="005052B6" w:rsidP="00231F9D">
      <w:pPr>
        <w:pStyle w:val="Heading2"/>
      </w:pPr>
      <w:r>
        <w:t>Risk Management Implications</w:t>
      </w:r>
    </w:p>
    <w:p w:rsidR="005052B6" w:rsidRDefault="005052B6" w:rsidP="005052B6">
      <w:pPr>
        <w:pStyle w:val="Heading4"/>
        <w:rPr>
          <w:b w:val="0"/>
        </w:rPr>
      </w:pPr>
    </w:p>
    <w:p w:rsidR="005052B6" w:rsidRPr="0005350C" w:rsidRDefault="005052B6" w:rsidP="00231F9D">
      <w:pPr>
        <w:pStyle w:val="ListParagraph"/>
        <w:numPr>
          <w:ilvl w:val="0"/>
          <w:numId w:val="45"/>
        </w:numPr>
        <w:tabs>
          <w:tab w:val="left" w:pos="5610"/>
        </w:tabs>
        <w:ind w:left="567" w:right="81" w:hanging="567"/>
        <w:rPr>
          <w:rFonts w:cs="Arial"/>
          <w:szCs w:val="24"/>
          <w:lang w:val="en-US"/>
        </w:rPr>
      </w:pPr>
      <w:r w:rsidRPr="0005350C">
        <w:rPr>
          <w:rFonts w:cs="Arial"/>
          <w:szCs w:val="24"/>
          <w:lang w:val="en-US"/>
        </w:rPr>
        <w:t>Risk included on Director</w:t>
      </w:r>
      <w:r w:rsidR="009D4FD6" w:rsidRPr="0005350C">
        <w:rPr>
          <w:rFonts w:cs="Arial"/>
          <w:szCs w:val="24"/>
          <w:lang w:val="en-US"/>
        </w:rPr>
        <w:t>ate risk register?  Yes</w:t>
      </w:r>
    </w:p>
    <w:p w:rsidR="005052B6" w:rsidRPr="0005350C" w:rsidRDefault="005052B6" w:rsidP="00231F9D">
      <w:pPr>
        <w:pStyle w:val="ListParagraph"/>
        <w:numPr>
          <w:ilvl w:val="0"/>
          <w:numId w:val="45"/>
        </w:numPr>
        <w:ind w:left="567" w:right="141" w:hanging="567"/>
        <w:rPr>
          <w:rFonts w:cs="Arial"/>
          <w:szCs w:val="24"/>
          <w:lang w:val="en-US" w:eastAsia="en-GB"/>
        </w:rPr>
      </w:pPr>
      <w:r w:rsidRPr="0005350C">
        <w:rPr>
          <w:rFonts w:cs="Arial"/>
          <w:szCs w:val="24"/>
          <w:lang w:val="en-US" w:eastAsia="en-GB"/>
        </w:rPr>
        <w:t xml:space="preserve">Separate risk register in place?  </w:t>
      </w:r>
      <w:r w:rsidR="009D4FD6" w:rsidRPr="0005350C">
        <w:rPr>
          <w:rFonts w:cs="Arial"/>
          <w:szCs w:val="24"/>
          <w:lang w:val="en-US" w:eastAsia="en-GB"/>
        </w:rPr>
        <w:t>No</w:t>
      </w:r>
      <w:r w:rsidR="009D4FD6" w:rsidRPr="0005350C">
        <w:rPr>
          <w:rFonts w:cs="Arial"/>
          <w:szCs w:val="24"/>
          <w:lang w:val="en-US" w:eastAsia="en-GB"/>
        </w:rPr>
        <w:tab/>
      </w:r>
    </w:p>
    <w:p w:rsidR="005052B6" w:rsidRPr="00A81E19" w:rsidRDefault="005052B6" w:rsidP="005052B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5"/>
      </w:tblGrid>
      <w:tr w:rsidR="005052B6" w:rsidRPr="00421A4C" w:rsidTr="00476E9F">
        <w:tc>
          <w:tcPr>
            <w:tcW w:w="8525" w:type="dxa"/>
            <w:shd w:val="clear" w:color="auto" w:fill="auto"/>
          </w:tcPr>
          <w:p w:rsidR="00914F31" w:rsidRDefault="009D4FD6" w:rsidP="00231F9D">
            <w:pPr>
              <w:pStyle w:val="ListParagraph"/>
              <w:numPr>
                <w:ilvl w:val="0"/>
                <w:numId w:val="45"/>
              </w:numPr>
              <w:ind w:left="567" w:hanging="567"/>
            </w:pPr>
            <w:r>
              <w:t xml:space="preserve">The </w:t>
            </w:r>
            <w:r w:rsidR="00914F31">
              <w:t>two main risks for the Council are:</w:t>
            </w:r>
          </w:p>
          <w:p w:rsidR="00914F31" w:rsidRDefault="00914F31" w:rsidP="00476E9F"/>
          <w:p w:rsidR="00914F31" w:rsidRDefault="00914F31" w:rsidP="00231F9D">
            <w:pPr>
              <w:pStyle w:val="ListParagraph"/>
              <w:numPr>
                <w:ilvl w:val="0"/>
                <w:numId w:val="46"/>
              </w:numPr>
              <w:ind w:left="1134" w:hanging="567"/>
            </w:pPr>
            <w:r>
              <w:t xml:space="preserve">Service providers ceasing to provide services for vulnerable people during the </w:t>
            </w:r>
            <w:proofErr w:type="spellStart"/>
            <w:r>
              <w:t>covid</w:t>
            </w:r>
            <w:proofErr w:type="spellEnd"/>
            <w:r>
              <w:t xml:space="preserve"> emergency and</w:t>
            </w:r>
          </w:p>
          <w:p w:rsidR="00914F31" w:rsidRDefault="00914F31" w:rsidP="00231F9D">
            <w:pPr>
              <w:ind w:left="1134" w:hanging="567"/>
            </w:pPr>
          </w:p>
          <w:p w:rsidR="00914F31" w:rsidRDefault="00914F31" w:rsidP="00231F9D">
            <w:pPr>
              <w:pStyle w:val="ListParagraph"/>
              <w:numPr>
                <w:ilvl w:val="0"/>
                <w:numId w:val="46"/>
              </w:numPr>
              <w:ind w:left="1134" w:hanging="567"/>
            </w:pPr>
            <w:r>
              <w:t>The market is unable to continue to provide services post-</w:t>
            </w:r>
            <w:proofErr w:type="spellStart"/>
            <w:r>
              <w:t>covid</w:t>
            </w:r>
            <w:proofErr w:type="spellEnd"/>
            <w:r>
              <w:t>.</w:t>
            </w:r>
          </w:p>
          <w:p w:rsidR="00914F31" w:rsidRDefault="00914F31" w:rsidP="00476E9F"/>
          <w:p w:rsidR="005052B6" w:rsidRDefault="00914F31" w:rsidP="00231F9D">
            <w:pPr>
              <w:pStyle w:val="ListParagraph"/>
              <w:numPr>
                <w:ilvl w:val="0"/>
                <w:numId w:val="45"/>
              </w:numPr>
              <w:ind w:left="567" w:hanging="567"/>
              <w:rPr>
                <w:lang w:eastAsia="en-GB"/>
              </w:rPr>
            </w:pPr>
            <w:r>
              <w:t xml:space="preserve">The </w:t>
            </w:r>
            <w:r w:rsidR="009D4FD6">
              <w:t xml:space="preserve">proposed </w:t>
            </w:r>
            <w:r>
              <w:t xml:space="preserve">temporary </w:t>
            </w:r>
            <w:r w:rsidR="009D4FD6">
              <w:t xml:space="preserve">additional </w:t>
            </w:r>
            <w:r>
              <w:t xml:space="preserve">funding to care providers for </w:t>
            </w:r>
            <w:proofErr w:type="spellStart"/>
            <w:r>
              <w:t>covid</w:t>
            </w:r>
            <w:proofErr w:type="spellEnd"/>
            <w:r>
              <w:t xml:space="preserve"> related costs will mitigate the risk during the </w:t>
            </w:r>
            <w:proofErr w:type="spellStart"/>
            <w:r>
              <w:t>covid</w:t>
            </w:r>
            <w:proofErr w:type="spellEnd"/>
            <w:r>
              <w:t xml:space="preserve"> emergency and the post </w:t>
            </w:r>
            <w:proofErr w:type="spellStart"/>
            <w:r>
              <w:t>covid</w:t>
            </w:r>
            <w:proofErr w:type="spellEnd"/>
            <w:r>
              <w:t xml:space="preserve"> recovery. </w:t>
            </w:r>
          </w:p>
          <w:p w:rsidR="00A1507D" w:rsidRPr="00A1507D" w:rsidRDefault="00A1507D" w:rsidP="00914F31"/>
        </w:tc>
      </w:tr>
    </w:tbl>
    <w:p w:rsidR="005052B6" w:rsidRDefault="005052B6" w:rsidP="005052B6">
      <w:pPr>
        <w:ind w:right="141"/>
        <w:rPr>
          <w:rFonts w:cs="Arial"/>
          <w:szCs w:val="24"/>
          <w:lang w:val="en-US" w:eastAsia="en-GB"/>
        </w:rPr>
      </w:pPr>
    </w:p>
    <w:p w:rsidR="00114AB9" w:rsidRDefault="00114AB9" w:rsidP="00231F9D">
      <w:pPr>
        <w:pStyle w:val="Heading2"/>
      </w:pPr>
      <w:r>
        <w:t xml:space="preserve">Procurement Implications </w:t>
      </w:r>
    </w:p>
    <w:p w:rsidR="001A092D" w:rsidRPr="0005350C" w:rsidRDefault="00914F31" w:rsidP="00231F9D">
      <w:pPr>
        <w:pStyle w:val="ListParagraph"/>
        <w:numPr>
          <w:ilvl w:val="0"/>
          <w:numId w:val="45"/>
        </w:numPr>
        <w:ind w:left="567" w:hanging="567"/>
        <w:rPr>
          <w:rFonts w:cs="Arial"/>
          <w:szCs w:val="24"/>
        </w:rPr>
      </w:pPr>
      <w:r w:rsidRPr="0005350C">
        <w:rPr>
          <w:rFonts w:cs="Arial"/>
          <w:szCs w:val="24"/>
        </w:rPr>
        <w:t xml:space="preserve">The Government issued a Procurement Policy Note on Supplier Relief Due to Covid-19 that came into immediate effect until the 30 June 2020. </w:t>
      </w:r>
      <w:r w:rsidRPr="0005350C">
        <w:rPr>
          <w:rFonts w:cs="Arial"/>
          <w:szCs w:val="24"/>
        </w:rPr>
        <w:lastRenderedPageBreak/>
        <w:t>The purpose of the PPN is to ensure that suppliers continue to be paid</w:t>
      </w:r>
      <w:r w:rsidR="00497526">
        <w:rPr>
          <w:rFonts w:cs="Arial"/>
          <w:szCs w:val="24"/>
        </w:rPr>
        <w:t>,</w:t>
      </w:r>
      <w:r w:rsidRPr="0005350C">
        <w:rPr>
          <w:rFonts w:cs="Arial"/>
          <w:szCs w:val="24"/>
        </w:rPr>
        <w:t xml:space="preserve"> as appropriate</w:t>
      </w:r>
      <w:r w:rsidR="00497526">
        <w:rPr>
          <w:rFonts w:cs="Arial"/>
          <w:szCs w:val="24"/>
        </w:rPr>
        <w:t>,</w:t>
      </w:r>
      <w:r w:rsidR="005C7115">
        <w:rPr>
          <w:rFonts w:cs="Arial"/>
          <w:szCs w:val="24"/>
        </w:rPr>
        <w:t xml:space="preserve"> </w:t>
      </w:r>
      <w:r w:rsidRPr="0005350C">
        <w:rPr>
          <w:rFonts w:cs="Arial"/>
          <w:szCs w:val="24"/>
        </w:rPr>
        <w:t xml:space="preserve">during the period of disruption caused by COVID-19, to support the additional </w:t>
      </w:r>
      <w:proofErr w:type="spellStart"/>
      <w:r w:rsidRPr="0005350C">
        <w:rPr>
          <w:rFonts w:cs="Arial"/>
          <w:szCs w:val="24"/>
        </w:rPr>
        <w:t>covid</w:t>
      </w:r>
      <w:proofErr w:type="spellEnd"/>
      <w:r w:rsidRPr="0005350C">
        <w:rPr>
          <w:rFonts w:cs="Arial"/>
          <w:szCs w:val="24"/>
        </w:rPr>
        <w:t xml:space="preserve"> related costs and so that they are in a position to resume normal contract delivery once the coronavirus outbreak is over. </w:t>
      </w:r>
    </w:p>
    <w:p w:rsidR="001A092D" w:rsidRDefault="001A092D" w:rsidP="00231F9D">
      <w:pPr>
        <w:ind w:left="567" w:hanging="567"/>
        <w:rPr>
          <w:rFonts w:cs="Arial"/>
          <w:szCs w:val="24"/>
        </w:rPr>
      </w:pPr>
    </w:p>
    <w:p w:rsidR="00914F31" w:rsidRPr="00CA60F9" w:rsidRDefault="00914F31">
      <w:pPr>
        <w:pStyle w:val="ListParagraph"/>
        <w:numPr>
          <w:ilvl w:val="0"/>
          <w:numId w:val="45"/>
        </w:numPr>
        <w:ind w:left="567" w:hanging="567"/>
        <w:rPr>
          <w:rFonts w:cs="Arial"/>
          <w:szCs w:val="24"/>
        </w:rPr>
      </w:pPr>
      <w:r w:rsidRPr="0005350C">
        <w:rPr>
          <w:rFonts w:cs="Arial"/>
          <w:szCs w:val="24"/>
        </w:rPr>
        <w:t xml:space="preserve">Harrow’s Procurement Team has issued guidance on managing requests for additional funding to ensure that they are managed in accordance with the PPN. </w:t>
      </w:r>
      <w:r w:rsidR="005C7115" w:rsidRPr="0005350C">
        <w:rPr>
          <w:rFonts w:cs="Arial"/>
          <w:szCs w:val="24"/>
        </w:rPr>
        <w:t xml:space="preserve">Procurement </w:t>
      </w:r>
      <w:r w:rsidR="005C7115">
        <w:rPr>
          <w:rFonts w:cs="Arial"/>
          <w:szCs w:val="24"/>
        </w:rPr>
        <w:t xml:space="preserve">have been engaged through the process of developing the approach set out in this paper and </w:t>
      </w:r>
      <w:r w:rsidR="005C7115" w:rsidRPr="0005350C">
        <w:rPr>
          <w:rFonts w:cs="Arial"/>
          <w:szCs w:val="24"/>
        </w:rPr>
        <w:t xml:space="preserve">are </w:t>
      </w:r>
      <w:r w:rsidR="005C7115">
        <w:rPr>
          <w:rFonts w:cs="Arial"/>
          <w:szCs w:val="24"/>
        </w:rPr>
        <w:t xml:space="preserve">in agreement </w:t>
      </w:r>
      <w:r w:rsidR="005C7115" w:rsidRPr="0005350C">
        <w:rPr>
          <w:rFonts w:cs="Arial"/>
          <w:szCs w:val="24"/>
        </w:rPr>
        <w:t xml:space="preserve"> of the approach proposed to support the Harrow care </w:t>
      </w:r>
      <w:r w:rsidR="005C7115">
        <w:rPr>
          <w:rFonts w:cs="Arial"/>
          <w:szCs w:val="24"/>
        </w:rPr>
        <w:t>market</w:t>
      </w:r>
      <w:r w:rsidR="001A092D" w:rsidRPr="00CA60F9">
        <w:rPr>
          <w:rFonts w:cs="Arial"/>
          <w:szCs w:val="24"/>
        </w:rPr>
        <w:t>.</w:t>
      </w:r>
    </w:p>
    <w:p w:rsidR="00526E5E" w:rsidRDefault="00526E5E" w:rsidP="00231F9D">
      <w:pPr>
        <w:ind w:left="567" w:hanging="567"/>
        <w:rPr>
          <w:color w:val="0000FF"/>
        </w:rPr>
      </w:pPr>
    </w:p>
    <w:p w:rsidR="00C84140" w:rsidRDefault="00C84140" w:rsidP="00231F9D">
      <w:pPr>
        <w:pStyle w:val="Heading2"/>
      </w:pPr>
      <w:r>
        <w:t>Legal Implications</w:t>
      </w:r>
    </w:p>
    <w:p w:rsidR="0005350C" w:rsidRPr="0005350C" w:rsidRDefault="0005350C" w:rsidP="00231F9D">
      <w:pPr>
        <w:pStyle w:val="ListParagraph"/>
        <w:numPr>
          <w:ilvl w:val="0"/>
          <w:numId w:val="45"/>
        </w:numPr>
        <w:ind w:left="567" w:hanging="567"/>
        <w:rPr>
          <w:rFonts w:eastAsia="Calibri"/>
          <w:szCs w:val="24"/>
        </w:rPr>
      </w:pPr>
      <w:r w:rsidRPr="0005350C">
        <w:rPr>
          <w:rFonts w:eastAsia="Calibri"/>
          <w:szCs w:val="24"/>
        </w:rPr>
        <w:t xml:space="preserve">The Care Act 2014 created new responsibilities on Councils for “market shaping” which places duties on Local Authorities to stimulate the whole local market to ensure there is appropriate, high quality care and support for its citizens at a cost that can be afforded and represents value for money. </w:t>
      </w:r>
    </w:p>
    <w:p w:rsidR="0005350C" w:rsidRDefault="0005350C" w:rsidP="00231F9D">
      <w:pPr>
        <w:pStyle w:val="Heading2"/>
        <w:ind w:left="567" w:hanging="567"/>
        <w:rPr>
          <w:rFonts w:eastAsia="Calibri"/>
          <w:b w:val="0"/>
          <w:sz w:val="24"/>
          <w:szCs w:val="24"/>
        </w:rPr>
      </w:pPr>
    </w:p>
    <w:p w:rsidR="0005350C" w:rsidRPr="0005350C" w:rsidRDefault="0005350C" w:rsidP="00231F9D">
      <w:pPr>
        <w:pStyle w:val="ListParagraph"/>
        <w:numPr>
          <w:ilvl w:val="0"/>
          <w:numId w:val="45"/>
        </w:numPr>
        <w:ind w:left="567" w:hanging="567"/>
        <w:rPr>
          <w:rFonts w:eastAsia="Calibri"/>
        </w:rPr>
      </w:pPr>
      <w:r w:rsidRPr="0005350C">
        <w:rPr>
          <w:rFonts w:eastAsia="Calibri"/>
        </w:rPr>
        <w:t xml:space="preserve">These funding proposals contribute to the Council fulfilling its duty during the </w:t>
      </w:r>
      <w:proofErr w:type="spellStart"/>
      <w:r w:rsidRPr="0005350C">
        <w:rPr>
          <w:rFonts w:eastAsia="Calibri"/>
        </w:rPr>
        <w:t>covid</w:t>
      </w:r>
      <w:proofErr w:type="spellEnd"/>
      <w:r w:rsidRPr="0005350C">
        <w:rPr>
          <w:rFonts w:eastAsia="Calibri"/>
        </w:rPr>
        <w:t xml:space="preserve"> emergency</w:t>
      </w:r>
      <w:r w:rsidR="001A7CC7">
        <w:rPr>
          <w:rFonts w:eastAsia="Calibri"/>
        </w:rPr>
        <w:t xml:space="preserve"> </w:t>
      </w:r>
      <w:r w:rsidR="007537BF">
        <w:rPr>
          <w:rFonts w:eastAsia="Calibri"/>
        </w:rPr>
        <w:t>and reflect</w:t>
      </w:r>
      <w:r w:rsidR="001A7CC7" w:rsidRPr="00915323">
        <w:rPr>
          <w:rFonts w:eastAsia="Calibri"/>
        </w:rPr>
        <w:t xml:space="preserve"> the LGA/ADASS framework</w:t>
      </w:r>
      <w:r w:rsidRPr="0005350C">
        <w:rPr>
          <w:rFonts w:eastAsia="Calibri"/>
        </w:rPr>
        <w:t>.</w:t>
      </w:r>
    </w:p>
    <w:p w:rsidR="0005350C" w:rsidRDefault="0005350C" w:rsidP="00A71F05">
      <w:pPr>
        <w:pStyle w:val="Heading2"/>
        <w:rPr>
          <w:rFonts w:eastAsia="Calibri"/>
          <w:szCs w:val="24"/>
        </w:rPr>
      </w:pPr>
    </w:p>
    <w:p w:rsidR="00A71F05" w:rsidRDefault="00A71F05" w:rsidP="00231F9D">
      <w:pPr>
        <w:pStyle w:val="Heading2"/>
      </w:pPr>
      <w:r>
        <w:t>Financial Implications</w:t>
      </w:r>
    </w:p>
    <w:p w:rsidR="00753772" w:rsidRPr="00D202AA" w:rsidRDefault="00753772" w:rsidP="00CA60F9">
      <w:pPr>
        <w:pStyle w:val="ListParagraph"/>
        <w:numPr>
          <w:ilvl w:val="0"/>
          <w:numId w:val="45"/>
        </w:numPr>
        <w:ind w:left="567" w:hanging="567"/>
        <w:rPr>
          <w:rFonts w:cs="Arial"/>
          <w:szCs w:val="24"/>
        </w:rPr>
      </w:pPr>
      <w:r w:rsidRPr="00753772">
        <w:rPr>
          <w:rFonts w:cs="Arial"/>
          <w:szCs w:val="24"/>
        </w:rPr>
        <w:t>The estimated financial impact for Harrow of the proposals to pay temporary additional funding at 5% from April to June would be in the region of £600k (based on care costs off approx. £43m for the services covered by the proposal</w:t>
      </w:r>
      <w:r w:rsidRPr="00D202AA">
        <w:rPr>
          <w:rFonts w:cs="Arial"/>
          <w:szCs w:val="24"/>
        </w:rPr>
        <w:t>).</w:t>
      </w:r>
    </w:p>
    <w:p w:rsidR="00753772" w:rsidRDefault="00753772" w:rsidP="00753772">
      <w:pPr>
        <w:ind w:left="567" w:hanging="567"/>
        <w:rPr>
          <w:rFonts w:cs="Arial"/>
          <w:szCs w:val="24"/>
        </w:rPr>
      </w:pPr>
    </w:p>
    <w:p w:rsidR="00753772" w:rsidRPr="00D202AA" w:rsidRDefault="00753772" w:rsidP="00CA60F9">
      <w:pPr>
        <w:pStyle w:val="ListParagraph"/>
        <w:numPr>
          <w:ilvl w:val="0"/>
          <w:numId w:val="45"/>
        </w:numPr>
        <w:ind w:left="567" w:hanging="567"/>
        <w:rPr>
          <w:rFonts w:cs="Arial"/>
          <w:szCs w:val="24"/>
        </w:rPr>
      </w:pPr>
      <w:r w:rsidRPr="00753772">
        <w:rPr>
          <w:rFonts w:cs="Arial"/>
          <w:szCs w:val="24"/>
        </w:rPr>
        <w:t>Assuming a 4% funding requirement for phase 2 this would reduce to approximately £430k and £320k for phase 3 (assumed at 3%).</w:t>
      </w:r>
    </w:p>
    <w:p w:rsidR="004C6A9A" w:rsidRDefault="004C6A9A" w:rsidP="00753772">
      <w:pPr>
        <w:ind w:left="567" w:hanging="567"/>
        <w:rPr>
          <w:rFonts w:cs="Arial"/>
          <w:szCs w:val="24"/>
        </w:rPr>
      </w:pPr>
    </w:p>
    <w:p w:rsidR="004C6A9A" w:rsidRPr="00753772" w:rsidRDefault="004C6A9A" w:rsidP="00CA60F9">
      <w:pPr>
        <w:pStyle w:val="ListParagraph"/>
        <w:numPr>
          <w:ilvl w:val="0"/>
          <w:numId w:val="45"/>
        </w:numPr>
        <w:ind w:left="567" w:hanging="567"/>
        <w:rPr>
          <w:rFonts w:cs="Arial"/>
          <w:szCs w:val="24"/>
        </w:rPr>
      </w:pPr>
      <w:r w:rsidRPr="00753772">
        <w:rPr>
          <w:rFonts w:cs="Arial"/>
          <w:szCs w:val="24"/>
        </w:rPr>
        <w:t xml:space="preserve">The funding proposals take into consideration the additional </w:t>
      </w:r>
      <w:proofErr w:type="spellStart"/>
      <w:r w:rsidRPr="00753772">
        <w:rPr>
          <w:rFonts w:cs="Arial"/>
          <w:szCs w:val="24"/>
        </w:rPr>
        <w:t>covid</w:t>
      </w:r>
      <w:proofErr w:type="spellEnd"/>
      <w:r w:rsidRPr="00753772">
        <w:rPr>
          <w:rFonts w:cs="Arial"/>
          <w:szCs w:val="24"/>
        </w:rPr>
        <w:t xml:space="preserve"> related costs that providers are experiencing including increases in staffing costs, PPE and training.</w:t>
      </w:r>
    </w:p>
    <w:p w:rsidR="004C6A9A" w:rsidRDefault="004C6A9A" w:rsidP="00753772">
      <w:pPr>
        <w:ind w:left="567" w:hanging="567"/>
        <w:rPr>
          <w:rFonts w:cs="Arial"/>
          <w:szCs w:val="24"/>
        </w:rPr>
      </w:pPr>
    </w:p>
    <w:p w:rsidR="004C6A9A" w:rsidRPr="00753772" w:rsidRDefault="004C6A9A" w:rsidP="00CA60F9">
      <w:pPr>
        <w:pStyle w:val="ListParagraph"/>
        <w:numPr>
          <w:ilvl w:val="0"/>
          <w:numId w:val="45"/>
        </w:numPr>
        <w:ind w:left="567" w:hanging="567"/>
        <w:rPr>
          <w:rFonts w:cs="Arial"/>
          <w:szCs w:val="24"/>
        </w:rPr>
      </w:pPr>
      <w:r w:rsidRPr="00753772">
        <w:rPr>
          <w:rFonts w:cs="Arial"/>
          <w:szCs w:val="24"/>
        </w:rPr>
        <w:t xml:space="preserve">The temporary additional funding will be funded from the government’s grant funding to local </w:t>
      </w:r>
      <w:r w:rsidR="0005350C" w:rsidRPr="00753772">
        <w:rPr>
          <w:rFonts w:cs="Arial"/>
          <w:szCs w:val="24"/>
        </w:rPr>
        <w:t>authorities.</w:t>
      </w:r>
    </w:p>
    <w:p w:rsidR="004C6A9A" w:rsidRDefault="004C6A9A" w:rsidP="004C6A9A">
      <w:pPr>
        <w:ind w:left="15"/>
        <w:rPr>
          <w:rFonts w:cs="Arial"/>
          <w:szCs w:val="24"/>
        </w:rPr>
      </w:pPr>
    </w:p>
    <w:p w:rsidR="00A1507D" w:rsidRPr="00CA60F9" w:rsidRDefault="00A1507D" w:rsidP="00231F9D">
      <w:pPr>
        <w:pStyle w:val="Heading2"/>
        <w:keepNext/>
      </w:pPr>
      <w:r w:rsidRPr="004A2543">
        <w:t>Equalities implications</w:t>
      </w:r>
      <w:r>
        <w:t xml:space="preserve"> </w:t>
      </w:r>
      <w:r w:rsidRPr="00333FAA">
        <w:t>/</w:t>
      </w:r>
      <w:r>
        <w:t xml:space="preserve"> </w:t>
      </w:r>
      <w:r w:rsidRPr="00333FAA">
        <w:t>Public Sector Equality Duty</w:t>
      </w:r>
    </w:p>
    <w:p w:rsidR="0005350C" w:rsidRPr="0005350C" w:rsidRDefault="0005350C" w:rsidP="00CA60F9">
      <w:pPr>
        <w:pStyle w:val="ListParagraph"/>
        <w:numPr>
          <w:ilvl w:val="0"/>
          <w:numId w:val="45"/>
        </w:numPr>
        <w:autoSpaceDE w:val="0"/>
        <w:autoSpaceDN w:val="0"/>
        <w:adjustRightInd w:val="0"/>
        <w:ind w:left="567" w:hanging="567"/>
        <w:rPr>
          <w:rFonts w:cs="Arial"/>
          <w:szCs w:val="24"/>
          <w:lang w:eastAsia="en-GB"/>
        </w:rPr>
      </w:pPr>
      <w:r w:rsidRPr="0005350C">
        <w:rPr>
          <w:rFonts w:cs="Arial"/>
          <w:szCs w:val="24"/>
          <w:lang w:eastAsia="en-GB"/>
        </w:rPr>
        <w:t>A</w:t>
      </w:r>
      <w:r w:rsidR="001A7CC7">
        <w:rPr>
          <w:rFonts w:cs="Arial"/>
          <w:szCs w:val="24"/>
          <w:lang w:eastAsia="en-GB"/>
        </w:rPr>
        <w:t xml:space="preserve"> formal EQIA has not been necessary because this is a temporary measure </w:t>
      </w:r>
      <w:r w:rsidR="00713625">
        <w:rPr>
          <w:rFonts w:cs="Arial"/>
          <w:szCs w:val="24"/>
          <w:lang w:eastAsia="en-GB"/>
        </w:rPr>
        <w:t xml:space="preserve">that </w:t>
      </w:r>
      <w:r w:rsidR="001A7CC7">
        <w:rPr>
          <w:rFonts w:cs="Arial"/>
          <w:szCs w:val="24"/>
          <w:lang w:eastAsia="en-GB"/>
        </w:rPr>
        <w:t xml:space="preserve">will ensure the continuation of care arrangements for vulnerable people and adults in receipt of packages to meet assessed needs during this emergency </w:t>
      </w:r>
      <w:proofErr w:type="spellStart"/>
      <w:r w:rsidR="001A7CC7">
        <w:rPr>
          <w:rFonts w:cs="Arial"/>
          <w:szCs w:val="24"/>
          <w:lang w:eastAsia="en-GB"/>
        </w:rPr>
        <w:t>covid</w:t>
      </w:r>
      <w:proofErr w:type="spellEnd"/>
      <w:r w:rsidR="001A7CC7">
        <w:rPr>
          <w:rFonts w:cs="Arial"/>
          <w:szCs w:val="24"/>
          <w:lang w:eastAsia="en-GB"/>
        </w:rPr>
        <w:t xml:space="preserve"> period.</w:t>
      </w:r>
      <w:r w:rsidRPr="0005350C">
        <w:rPr>
          <w:rFonts w:cs="Arial"/>
          <w:szCs w:val="24"/>
          <w:lang w:eastAsia="en-GB"/>
        </w:rPr>
        <w:t xml:space="preserve"> In particular supporting the market providing services </w:t>
      </w:r>
      <w:r w:rsidR="001A7CC7">
        <w:rPr>
          <w:rFonts w:cs="Arial"/>
          <w:szCs w:val="24"/>
          <w:lang w:eastAsia="en-GB"/>
        </w:rPr>
        <w:t xml:space="preserve">to </w:t>
      </w:r>
      <w:r w:rsidRPr="0005350C">
        <w:rPr>
          <w:rFonts w:cs="Arial"/>
          <w:szCs w:val="24"/>
          <w:lang w:eastAsia="en-GB"/>
        </w:rPr>
        <w:t>an increasing population of over 65 year olds is positive for this age group.</w:t>
      </w:r>
    </w:p>
    <w:p w:rsidR="004C6A9A" w:rsidRDefault="004C6A9A" w:rsidP="004C6A9A"/>
    <w:p w:rsidR="007537BF" w:rsidRDefault="007537BF" w:rsidP="004C6A9A"/>
    <w:p w:rsidR="007537BF" w:rsidRDefault="007537BF" w:rsidP="004C6A9A"/>
    <w:p w:rsidR="007537BF" w:rsidRPr="004C6A9A" w:rsidRDefault="007537BF" w:rsidP="004C6A9A"/>
    <w:p w:rsidR="001860D7" w:rsidRPr="00CD57D8" w:rsidRDefault="00473049" w:rsidP="00231F9D">
      <w:pPr>
        <w:pStyle w:val="Heading2"/>
      </w:pPr>
      <w:r>
        <w:lastRenderedPageBreak/>
        <w:t xml:space="preserve">Council </w:t>
      </w:r>
      <w:r w:rsidR="001860D7" w:rsidRPr="00CD57D8">
        <w:t>Priorities</w:t>
      </w:r>
    </w:p>
    <w:p w:rsidR="001860D7" w:rsidRPr="00CD57D8" w:rsidRDefault="001860D7" w:rsidP="001860D7">
      <w:pPr>
        <w:keepNext/>
        <w:ind w:right="144"/>
        <w:rPr>
          <w:rFonts w:cs="Arial"/>
          <w:szCs w:val="24"/>
          <w:lang w:val="en-US"/>
        </w:rPr>
      </w:pPr>
    </w:p>
    <w:p w:rsidR="00753772" w:rsidRDefault="0023646B" w:rsidP="00CA60F9">
      <w:pPr>
        <w:pStyle w:val="ListParagraph"/>
        <w:numPr>
          <w:ilvl w:val="0"/>
          <w:numId w:val="45"/>
        </w:numPr>
        <w:ind w:left="567" w:hanging="567"/>
        <w:rPr>
          <w:rFonts w:cs="Arial"/>
          <w:szCs w:val="24"/>
          <w:lang w:val="en-US"/>
        </w:rPr>
      </w:pPr>
      <w:r w:rsidRPr="00753772">
        <w:rPr>
          <w:rFonts w:cs="Arial"/>
          <w:szCs w:val="24"/>
          <w:lang w:val="en-US"/>
        </w:rPr>
        <w:t xml:space="preserve">The proposals to provide </w:t>
      </w:r>
      <w:r w:rsidR="00910765" w:rsidRPr="00753772">
        <w:rPr>
          <w:rFonts w:cs="Arial"/>
          <w:szCs w:val="24"/>
          <w:lang w:val="en-US"/>
        </w:rPr>
        <w:t xml:space="preserve">temporary </w:t>
      </w:r>
      <w:r w:rsidRPr="00753772">
        <w:rPr>
          <w:rFonts w:cs="Arial"/>
          <w:szCs w:val="24"/>
          <w:lang w:val="en-US"/>
        </w:rPr>
        <w:t xml:space="preserve">additional funding to social care providers </w:t>
      </w:r>
      <w:r w:rsidR="00910765" w:rsidRPr="00753772">
        <w:rPr>
          <w:rFonts w:cs="Arial"/>
          <w:szCs w:val="24"/>
          <w:lang w:val="en-US"/>
        </w:rPr>
        <w:t xml:space="preserve">for </w:t>
      </w:r>
      <w:proofErr w:type="spellStart"/>
      <w:r w:rsidR="00910765" w:rsidRPr="00753772">
        <w:rPr>
          <w:rFonts w:cs="Arial"/>
          <w:szCs w:val="24"/>
          <w:lang w:val="en-US"/>
        </w:rPr>
        <w:t>covid</w:t>
      </w:r>
      <w:proofErr w:type="spellEnd"/>
      <w:r w:rsidR="00910765" w:rsidRPr="00753772">
        <w:rPr>
          <w:rFonts w:cs="Arial"/>
          <w:szCs w:val="24"/>
          <w:lang w:val="en-US"/>
        </w:rPr>
        <w:t xml:space="preserve"> related costs </w:t>
      </w:r>
      <w:r w:rsidRPr="00753772">
        <w:rPr>
          <w:rFonts w:cs="Arial"/>
          <w:szCs w:val="24"/>
          <w:lang w:val="en-US"/>
        </w:rPr>
        <w:t>contributes to the Council’s priorities</w:t>
      </w:r>
      <w:r w:rsidR="00753772" w:rsidRPr="00753772">
        <w:rPr>
          <w:rFonts w:cs="Arial"/>
          <w:szCs w:val="24"/>
          <w:lang w:val="en-US"/>
        </w:rPr>
        <w:t xml:space="preserve"> </w:t>
      </w:r>
      <w:r w:rsidR="00753772">
        <w:rPr>
          <w:rFonts w:cs="Arial"/>
          <w:szCs w:val="24"/>
          <w:lang w:val="en-US"/>
        </w:rPr>
        <w:t>:</w:t>
      </w:r>
    </w:p>
    <w:p w:rsidR="00753772" w:rsidRDefault="00753772" w:rsidP="00CA60F9">
      <w:pPr>
        <w:pStyle w:val="ListParagraph"/>
        <w:ind w:left="567" w:hanging="567"/>
        <w:rPr>
          <w:rFonts w:cs="Arial"/>
          <w:szCs w:val="24"/>
          <w:lang w:val="en-US"/>
        </w:rPr>
      </w:pPr>
    </w:p>
    <w:p w:rsidR="00753772" w:rsidRDefault="00753772" w:rsidP="001A7CC7">
      <w:pPr>
        <w:pStyle w:val="ListParagraph"/>
        <w:numPr>
          <w:ilvl w:val="0"/>
          <w:numId w:val="46"/>
        </w:numPr>
        <w:ind w:left="1134" w:hanging="567"/>
      </w:pPr>
      <w:r>
        <w:t>Improving the environment and addressing climate change</w:t>
      </w:r>
    </w:p>
    <w:p w:rsidR="00753772" w:rsidRDefault="00753772" w:rsidP="001A7CC7">
      <w:pPr>
        <w:pStyle w:val="ListParagraph"/>
        <w:numPr>
          <w:ilvl w:val="0"/>
          <w:numId w:val="46"/>
        </w:numPr>
        <w:ind w:left="1134" w:hanging="567"/>
      </w:pPr>
      <w:r>
        <w:t>Tackling poverty and inequality</w:t>
      </w:r>
    </w:p>
    <w:p w:rsidR="00753772" w:rsidRDefault="00753772" w:rsidP="001A7CC7">
      <w:pPr>
        <w:pStyle w:val="ListParagraph"/>
        <w:numPr>
          <w:ilvl w:val="0"/>
          <w:numId w:val="46"/>
        </w:numPr>
        <w:ind w:left="1134" w:hanging="567"/>
      </w:pPr>
      <w:r>
        <w:t>Building homes and infrastructure</w:t>
      </w:r>
    </w:p>
    <w:p w:rsidR="00753772" w:rsidRDefault="00753772" w:rsidP="001A7CC7">
      <w:pPr>
        <w:pStyle w:val="ListParagraph"/>
        <w:numPr>
          <w:ilvl w:val="0"/>
          <w:numId w:val="46"/>
        </w:numPr>
        <w:ind w:left="1134" w:hanging="567"/>
      </w:pPr>
      <w:r>
        <w:t>Addressing health and social care inequality</w:t>
      </w:r>
    </w:p>
    <w:p w:rsidR="0023646B" w:rsidRDefault="00753772" w:rsidP="001A7CC7">
      <w:pPr>
        <w:pStyle w:val="ListParagraph"/>
        <w:numPr>
          <w:ilvl w:val="0"/>
          <w:numId w:val="46"/>
        </w:numPr>
        <w:ind w:left="1134" w:hanging="567"/>
      </w:pPr>
      <w:r>
        <w:t>Thriving economy</w:t>
      </w:r>
    </w:p>
    <w:p w:rsidR="00753772" w:rsidRDefault="00753772" w:rsidP="001A7CC7">
      <w:pPr>
        <w:ind w:left="567" w:hanging="567"/>
      </w:pPr>
    </w:p>
    <w:p w:rsidR="00753772" w:rsidRDefault="00753772" w:rsidP="001A7CC7">
      <w:pPr>
        <w:pStyle w:val="ListParagraph"/>
        <w:numPr>
          <w:ilvl w:val="0"/>
          <w:numId w:val="45"/>
        </w:numPr>
        <w:ind w:left="567" w:hanging="567"/>
      </w:pPr>
      <w:r>
        <w:t xml:space="preserve">By addressing health and social care inequality of </w:t>
      </w:r>
      <w:r w:rsidR="00D202AA">
        <w:t>residents</w:t>
      </w:r>
      <w:r>
        <w:t xml:space="preserve"> receiving support and services from care providers.</w:t>
      </w:r>
    </w:p>
    <w:p w:rsidR="00753772" w:rsidRDefault="00753772" w:rsidP="0023646B"/>
    <w:p w:rsidR="00A71F05" w:rsidRDefault="00A71F05" w:rsidP="00A71F05">
      <w:pPr>
        <w:pStyle w:val="Heading1"/>
        <w:keepNext/>
      </w:pPr>
      <w:r>
        <w:t xml:space="preserve">Section 3 </w:t>
      </w:r>
      <w:r w:rsidR="00753772">
        <w:t>–</w:t>
      </w:r>
      <w:r>
        <w:t xml:space="preserve"> Statutory Officer Clearance</w:t>
      </w:r>
    </w:p>
    <w:p w:rsidR="00A71F05" w:rsidRDefault="00A71F05" w:rsidP="00A71F05">
      <w:pPr>
        <w:keepNext/>
        <w:rPr>
          <w:rFonts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04"/>
        <w:gridCol w:w="403"/>
        <w:gridCol w:w="222"/>
        <w:gridCol w:w="3196"/>
      </w:tblGrid>
      <w:tr w:rsidR="002D6239">
        <w:tc>
          <w:tcPr>
            <w:tcW w:w="2791" w:type="pct"/>
            <w:tcBorders>
              <w:bottom w:val="nil"/>
              <w:right w:val="nil"/>
            </w:tcBorders>
          </w:tcPr>
          <w:p w:rsidR="002D6239" w:rsidRDefault="002D6239" w:rsidP="00E436A9">
            <w:pPr>
              <w:pStyle w:val="Infotext"/>
            </w:pPr>
          </w:p>
          <w:p w:rsidR="002D6239" w:rsidRDefault="002D6239" w:rsidP="00C737C8">
            <w:pPr>
              <w:pStyle w:val="Infotext"/>
            </w:pPr>
            <w:r>
              <w:t xml:space="preserve">Signature: </w:t>
            </w:r>
            <w:r w:rsidR="00C737C8">
              <w:t xml:space="preserve"> </w:t>
            </w:r>
            <w:r w:rsidR="007537BF">
              <w:t>Donna Edwards</w:t>
            </w:r>
          </w:p>
        </w:tc>
        <w:tc>
          <w:tcPr>
            <w:tcW w:w="138" w:type="pct"/>
            <w:tcBorders>
              <w:left w:val="nil"/>
              <w:bottom w:val="nil"/>
              <w:right w:val="nil"/>
            </w:tcBorders>
          </w:tcPr>
          <w:p w:rsidR="002D6239" w:rsidRDefault="002D6239" w:rsidP="00E436A9">
            <w:pPr>
              <w:pStyle w:val="Infotext"/>
            </w:pPr>
          </w:p>
        </w:tc>
        <w:tc>
          <w:tcPr>
            <w:tcW w:w="138" w:type="pct"/>
            <w:tcBorders>
              <w:left w:val="nil"/>
              <w:bottom w:val="nil"/>
              <w:right w:val="nil"/>
            </w:tcBorders>
          </w:tcPr>
          <w:p w:rsidR="002D6239" w:rsidRDefault="002D6239" w:rsidP="00E436A9">
            <w:pPr>
              <w:pStyle w:val="Infotext"/>
            </w:pPr>
          </w:p>
        </w:tc>
        <w:tc>
          <w:tcPr>
            <w:tcW w:w="1932" w:type="pct"/>
            <w:tcBorders>
              <w:left w:val="nil"/>
              <w:bottom w:val="nil"/>
            </w:tcBorders>
          </w:tcPr>
          <w:p w:rsidR="002D6239" w:rsidRDefault="002D6239" w:rsidP="00E436A9">
            <w:pPr>
              <w:pStyle w:val="Infotext"/>
            </w:pPr>
          </w:p>
        </w:tc>
      </w:tr>
      <w:tr w:rsidR="002D6239">
        <w:tc>
          <w:tcPr>
            <w:tcW w:w="2791" w:type="pct"/>
            <w:tcBorders>
              <w:top w:val="nil"/>
              <w:bottom w:val="nil"/>
              <w:right w:val="nil"/>
            </w:tcBorders>
          </w:tcPr>
          <w:p w:rsidR="002D6239" w:rsidRDefault="002D6239" w:rsidP="00E436A9">
            <w:pPr>
              <w:pStyle w:val="Infotext"/>
            </w:pPr>
          </w:p>
        </w:tc>
        <w:tc>
          <w:tcPr>
            <w:tcW w:w="138" w:type="pct"/>
            <w:tcBorders>
              <w:top w:val="nil"/>
              <w:left w:val="nil"/>
              <w:right w:val="nil"/>
            </w:tcBorders>
          </w:tcPr>
          <w:p w:rsidR="002D6239" w:rsidRDefault="002D6239" w:rsidP="00E436A9">
            <w:pPr>
              <w:pStyle w:val="Infotext"/>
            </w:pPr>
          </w:p>
        </w:tc>
        <w:tc>
          <w:tcPr>
            <w:tcW w:w="138" w:type="pct"/>
            <w:tcBorders>
              <w:top w:val="nil"/>
              <w:left w:val="nil"/>
              <w:bottom w:val="nil"/>
              <w:right w:val="nil"/>
            </w:tcBorders>
          </w:tcPr>
          <w:p w:rsidR="002D6239" w:rsidRDefault="002D6239" w:rsidP="00E436A9">
            <w:pPr>
              <w:pStyle w:val="Infotext"/>
            </w:pPr>
          </w:p>
        </w:tc>
        <w:tc>
          <w:tcPr>
            <w:tcW w:w="1932" w:type="pct"/>
            <w:tcBorders>
              <w:top w:val="nil"/>
              <w:left w:val="nil"/>
              <w:bottom w:val="nil"/>
            </w:tcBorders>
          </w:tcPr>
          <w:p w:rsidR="002D6239" w:rsidRDefault="002D6239" w:rsidP="007537BF">
            <w:pPr>
              <w:pStyle w:val="Infotext"/>
            </w:pPr>
            <w:r>
              <w:t>on behalf of the</w:t>
            </w:r>
          </w:p>
        </w:tc>
      </w:tr>
      <w:tr w:rsidR="002D6239">
        <w:tc>
          <w:tcPr>
            <w:tcW w:w="2791" w:type="pct"/>
            <w:tcBorders>
              <w:top w:val="nil"/>
              <w:bottom w:val="nil"/>
            </w:tcBorders>
          </w:tcPr>
          <w:p w:rsidR="002D6239" w:rsidRDefault="002D6239" w:rsidP="00910765">
            <w:pPr>
              <w:pStyle w:val="Infotext"/>
            </w:pPr>
            <w:r>
              <w:t>Name:</w:t>
            </w:r>
            <w:r w:rsidR="00C737C8">
              <w:t xml:space="preserve">  </w:t>
            </w:r>
            <w:r w:rsidR="001A7CC7">
              <w:t>Donna Edwards</w:t>
            </w:r>
          </w:p>
        </w:tc>
        <w:tc>
          <w:tcPr>
            <w:tcW w:w="138" w:type="pct"/>
            <w:tcBorders>
              <w:bottom w:val="single" w:sz="4" w:space="0" w:color="auto"/>
            </w:tcBorders>
          </w:tcPr>
          <w:p w:rsidR="002D6239" w:rsidRDefault="001A7CC7" w:rsidP="00E436A9">
            <w:pPr>
              <w:pStyle w:val="Infotext"/>
            </w:pPr>
            <w:r>
              <w:t>X</w:t>
            </w:r>
          </w:p>
        </w:tc>
        <w:tc>
          <w:tcPr>
            <w:tcW w:w="138" w:type="pct"/>
            <w:tcBorders>
              <w:top w:val="nil"/>
              <w:bottom w:val="nil"/>
              <w:right w:val="nil"/>
            </w:tcBorders>
          </w:tcPr>
          <w:p w:rsidR="002D6239" w:rsidRDefault="002D6239" w:rsidP="00E436A9">
            <w:pPr>
              <w:pStyle w:val="Infotext"/>
            </w:pPr>
          </w:p>
        </w:tc>
        <w:tc>
          <w:tcPr>
            <w:tcW w:w="1932" w:type="pct"/>
            <w:tcBorders>
              <w:top w:val="nil"/>
              <w:left w:val="nil"/>
              <w:bottom w:val="nil"/>
            </w:tcBorders>
          </w:tcPr>
          <w:p w:rsidR="002D6239" w:rsidRDefault="002D6239" w:rsidP="00E436A9">
            <w:pPr>
              <w:pStyle w:val="Infotext"/>
            </w:pPr>
            <w:r>
              <w:t>Chief Financial Officer</w:t>
            </w:r>
          </w:p>
        </w:tc>
      </w:tr>
      <w:tr w:rsidR="002D6239">
        <w:tc>
          <w:tcPr>
            <w:tcW w:w="2791" w:type="pct"/>
            <w:tcBorders>
              <w:top w:val="nil"/>
              <w:bottom w:val="single" w:sz="4" w:space="0" w:color="auto"/>
              <w:right w:val="nil"/>
            </w:tcBorders>
          </w:tcPr>
          <w:p w:rsidR="002D6239" w:rsidRDefault="002D6239" w:rsidP="00E436A9">
            <w:pPr>
              <w:pStyle w:val="Infotext"/>
            </w:pPr>
            <w:r>
              <w:t xml:space="preserve"> </w:t>
            </w:r>
          </w:p>
          <w:p w:rsidR="002D6239" w:rsidRDefault="002D6239" w:rsidP="00C737C8">
            <w:pPr>
              <w:pStyle w:val="Infotext"/>
            </w:pPr>
            <w:r>
              <w:t xml:space="preserve">Date: </w:t>
            </w:r>
            <w:r w:rsidR="00C737C8">
              <w:t xml:space="preserve"> </w:t>
            </w:r>
            <w:r w:rsidR="001A7CC7">
              <w:t>5</w:t>
            </w:r>
            <w:r w:rsidR="001A7CC7" w:rsidRPr="00CA60F9">
              <w:rPr>
                <w:vertAlign w:val="superscript"/>
              </w:rPr>
              <w:t>th</w:t>
            </w:r>
            <w:r w:rsidR="001A7CC7">
              <w:t xml:space="preserve"> May 2020</w:t>
            </w:r>
          </w:p>
        </w:tc>
        <w:tc>
          <w:tcPr>
            <w:tcW w:w="138" w:type="pct"/>
            <w:tcBorders>
              <w:left w:val="nil"/>
              <w:bottom w:val="single" w:sz="4" w:space="0" w:color="auto"/>
              <w:right w:val="nil"/>
            </w:tcBorders>
          </w:tcPr>
          <w:p w:rsidR="002D6239" w:rsidRDefault="002D6239" w:rsidP="00E436A9">
            <w:pPr>
              <w:pStyle w:val="Infotext"/>
            </w:pPr>
          </w:p>
        </w:tc>
        <w:tc>
          <w:tcPr>
            <w:tcW w:w="138" w:type="pct"/>
            <w:tcBorders>
              <w:top w:val="nil"/>
              <w:left w:val="nil"/>
              <w:bottom w:val="single" w:sz="4" w:space="0" w:color="auto"/>
              <w:right w:val="nil"/>
            </w:tcBorders>
          </w:tcPr>
          <w:p w:rsidR="002D6239" w:rsidRDefault="002D6239" w:rsidP="00E436A9">
            <w:pPr>
              <w:pStyle w:val="Infotext"/>
            </w:pPr>
          </w:p>
        </w:tc>
        <w:tc>
          <w:tcPr>
            <w:tcW w:w="1932" w:type="pct"/>
            <w:tcBorders>
              <w:top w:val="nil"/>
              <w:left w:val="nil"/>
              <w:bottom w:val="single" w:sz="4" w:space="0" w:color="auto"/>
            </w:tcBorders>
          </w:tcPr>
          <w:p w:rsidR="002D6239" w:rsidRDefault="002D6239" w:rsidP="00E436A9">
            <w:pPr>
              <w:pStyle w:val="Infotext"/>
            </w:pPr>
          </w:p>
        </w:tc>
      </w:tr>
      <w:tr w:rsidR="002D6239">
        <w:tc>
          <w:tcPr>
            <w:tcW w:w="2791" w:type="pct"/>
            <w:tcBorders>
              <w:bottom w:val="nil"/>
              <w:right w:val="nil"/>
            </w:tcBorders>
          </w:tcPr>
          <w:p w:rsidR="002D6239" w:rsidRDefault="002D6239" w:rsidP="00E436A9">
            <w:pPr>
              <w:pStyle w:val="Infotext"/>
            </w:pPr>
          </w:p>
          <w:p w:rsidR="002D6239" w:rsidRDefault="002D6239" w:rsidP="00C737C8">
            <w:pPr>
              <w:pStyle w:val="Infotext"/>
            </w:pPr>
            <w:r>
              <w:t xml:space="preserve">Signature: </w:t>
            </w:r>
            <w:r w:rsidR="00C737C8">
              <w:t xml:space="preserve"> </w:t>
            </w:r>
            <w:r w:rsidR="007537BF">
              <w:t>Sharon Clarke</w:t>
            </w:r>
          </w:p>
        </w:tc>
        <w:tc>
          <w:tcPr>
            <w:tcW w:w="138" w:type="pct"/>
            <w:tcBorders>
              <w:left w:val="nil"/>
              <w:bottom w:val="nil"/>
              <w:right w:val="nil"/>
            </w:tcBorders>
          </w:tcPr>
          <w:p w:rsidR="002D6239" w:rsidRDefault="002D6239" w:rsidP="00E436A9">
            <w:pPr>
              <w:pStyle w:val="Infotext"/>
            </w:pPr>
          </w:p>
        </w:tc>
        <w:tc>
          <w:tcPr>
            <w:tcW w:w="138" w:type="pct"/>
            <w:tcBorders>
              <w:left w:val="nil"/>
              <w:bottom w:val="nil"/>
              <w:right w:val="nil"/>
            </w:tcBorders>
          </w:tcPr>
          <w:p w:rsidR="002D6239" w:rsidRDefault="002D6239" w:rsidP="00E436A9">
            <w:pPr>
              <w:pStyle w:val="Infotext"/>
            </w:pPr>
          </w:p>
        </w:tc>
        <w:tc>
          <w:tcPr>
            <w:tcW w:w="1932" w:type="pct"/>
            <w:tcBorders>
              <w:left w:val="nil"/>
              <w:bottom w:val="nil"/>
            </w:tcBorders>
          </w:tcPr>
          <w:p w:rsidR="002D6239" w:rsidRDefault="002D6239" w:rsidP="00E436A9">
            <w:pPr>
              <w:pStyle w:val="Infotext"/>
            </w:pPr>
          </w:p>
        </w:tc>
      </w:tr>
      <w:tr w:rsidR="002D6239">
        <w:tc>
          <w:tcPr>
            <w:tcW w:w="2791" w:type="pct"/>
            <w:tcBorders>
              <w:top w:val="nil"/>
              <w:bottom w:val="nil"/>
              <w:right w:val="nil"/>
            </w:tcBorders>
          </w:tcPr>
          <w:p w:rsidR="002D6239" w:rsidRDefault="002D6239" w:rsidP="00E436A9">
            <w:pPr>
              <w:pStyle w:val="Infotext"/>
            </w:pPr>
            <w:r>
              <w:t xml:space="preserve"> </w:t>
            </w:r>
          </w:p>
        </w:tc>
        <w:tc>
          <w:tcPr>
            <w:tcW w:w="138" w:type="pct"/>
            <w:tcBorders>
              <w:top w:val="nil"/>
              <w:left w:val="nil"/>
              <w:right w:val="nil"/>
            </w:tcBorders>
          </w:tcPr>
          <w:p w:rsidR="002D6239" w:rsidRDefault="002D6239" w:rsidP="00E436A9">
            <w:pPr>
              <w:pStyle w:val="Infotext"/>
            </w:pPr>
          </w:p>
        </w:tc>
        <w:tc>
          <w:tcPr>
            <w:tcW w:w="138" w:type="pct"/>
            <w:tcBorders>
              <w:top w:val="nil"/>
              <w:left w:val="nil"/>
              <w:bottom w:val="nil"/>
              <w:right w:val="nil"/>
            </w:tcBorders>
          </w:tcPr>
          <w:p w:rsidR="002D6239" w:rsidRDefault="002D6239" w:rsidP="00E436A9">
            <w:pPr>
              <w:pStyle w:val="Infotext"/>
            </w:pPr>
          </w:p>
        </w:tc>
        <w:tc>
          <w:tcPr>
            <w:tcW w:w="1932" w:type="pct"/>
            <w:tcBorders>
              <w:top w:val="nil"/>
              <w:left w:val="nil"/>
              <w:bottom w:val="nil"/>
            </w:tcBorders>
          </w:tcPr>
          <w:p w:rsidR="002D6239" w:rsidRDefault="002D6239" w:rsidP="007537BF">
            <w:pPr>
              <w:pStyle w:val="Infotext"/>
            </w:pPr>
            <w:r>
              <w:t>on behalf of the</w:t>
            </w:r>
          </w:p>
        </w:tc>
      </w:tr>
      <w:tr w:rsidR="002D6239">
        <w:tc>
          <w:tcPr>
            <w:tcW w:w="2791" w:type="pct"/>
            <w:tcBorders>
              <w:top w:val="nil"/>
              <w:bottom w:val="nil"/>
            </w:tcBorders>
          </w:tcPr>
          <w:p w:rsidR="002D6239" w:rsidRDefault="002D6239" w:rsidP="00C737C8">
            <w:pPr>
              <w:pStyle w:val="Infotext"/>
            </w:pPr>
            <w:r>
              <w:t xml:space="preserve">Name: </w:t>
            </w:r>
            <w:r w:rsidR="00C737C8">
              <w:t xml:space="preserve"> </w:t>
            </w:r>
            <w:r w:rsidR="001A7CC7">
              <w:t>Sharon Clarke</w:t>
            </w:r>
          </w:p>
        </w:tc>
        <w:tc>
          <w:tcPr>
            <w:tcW w:w="138" w:type="pct"/>
            <w:tcBorders>
              <w:bottom w:val="single" w:sz="4" w:space="0" w:color="auto"/>
            </w:tcBorders>
          </w:tcPr>
          <w:p w:rsidR="002D6239" w:rsidRDefault="001A7CC7" w:rsidP="00E436A9">
            <w:pPr>
              <w:pStyle w:val="Infotext"/>
            </w:pPr>
            <w:r>
              <w:t>X</w:t>
            </w:r>
          </w:p>
        </w:tc>
        <w:tc>
          <w:tcPr>
            <w:tcW w:w="138" w:type="pct"/>
            <w:tcBorders>
              <w:top w:val="nil"/>
              <w:bottom w:val="nil"/>
              <w:right w:val="nil"/>
            </w:tcBorders>
          </w:tcPr>
          <w:p w:rsidR="002D6239" w:rsidRDefault="002D6239" w:rsidP="00E436A9">
            <w:pPr>
              <w:pStyle w:val="Infotext"/>
            </w:pPr>
          </w:p>
        </w:tc>
        <w:tc>
          <w:tcPr>
            <w:tcW w:w="1932" w:type="pct"/>
            <w:tcBorders>
              <w:top w:val="nil"/>
              <w:left w:val="nil"/>
              <w:bottom w:val="nil"/>
            </w:tcBorders>
          </w:tcPr>
          <w:p w:rsidR="002D6239" w:rsidRDefault="002D6239" w:rsidP="00E436A9">
            <w:pPr>
              <w:pStyle w:val="Infotext"/>
            </w:pPr>
            <w:r>
              <w:t>Monitoring Officer</w:t>
            </w:r>
          </w:p>
        </w:tc>
      </w:tr>
      <w:tr w:rsidR="002D6239">
        <w:tc>
          <w:tcPr>
            <w:tcW w:w="2791" w:type="pct"/>
            <w:tcBorders>
              <w:top w:val="nil"/>
              <w:right w:val="nil"/>
            </w:tcBorders>
          </w:tcPr>
          <w:p w:rsidR="002D6239" w:rsidRDefault="002D6239" w:rsidP="00E436A9">
            <w:pPr>
              <w:pStyle w:val="Infotext"/>
            </w:pPr>
          </w:p>
          <w:p w:rsidR="002D6239" w:rsidRDefault="002D6239" w:rsidP="00C737C8">
            <w:pPr>
              <w:pStyle w:val="Infotext"/>
            </w:pPr>
            <w:r>
              <w:t xml:space="preserve">Date: </w:t>
            </w:r>
            <w:r w:rsidR="00C737C8">
              <w:t xml:space="preserve"> </w:t>
            </w:r>
            <w:r w:rsidR="001A7CC7">
              <w:t>5</w:t>
            </w:r>
            <w:r w:rsidR="001A7CC7" w:rsidRPr="00CA60F9">
              <w:rPr>
                <w:vertAlign w:val="superscript"/>
              </w:rPr>
              <w:t>th</w:t>
            </w:r>
            <w:r w:rsidR="001A7CC7">
              <w:t xml:space="preserve"> May 2020</w:t>
            </w:r>
          </w:p>
        </w:tc>
        <w:tc>
          <w:tcPr>
            <w:tcW w:w="138" w:type="pct"/>
            <w:tcBorders>
              <w:left w:val="nil"/>
              <w:right w:val="nil"/>
            </w:tcBorders>
          </w:tcPr>
          <w:p w:rsidR="002D6239" w:rsidRDefault="002D6239" w:rsidP="00E436A9">
            <w:pPr>
              <w:pStyle w:val="Infotext"/>
            </w:pPr>
          </w:p>
        </w:tc>
        <w:tc>
          <w:tcPr>
            <w:tcW w:w="138" w:type="pct"/>
            <w:tcBorders>
              <w:top w:val="nil"/>
              <w:left w:val="nil"/>
              <w:right w:val="nil"/>
            </w:tcBorders>
          </w:tcPr>
          <w:p w:rsidR="002D6239" w:rsidRDefault="002D6239" w:rsidP="00E436A9">
            <w:pPr>
              <w:pStyle w:val="Infotext"/>
            </w:pPr>
          </w:p>
        </w:tc>
        <w:tc>
          <w:tcPr>
            <w:tcW w:w="1932" w:type="pct"/>
            <w:tcBorders>
              <w:top w:val="nil"/>
              <w:left w:val="nil"/>
            </w:tcBorders>
          </w:tcPr>
          <w:p w:rsidR="002D6239" w:rsidRDefault="002D6239" w:rsidP="00E436A9">
            <w:pPr>
              <w:pStyle w:val="Infotext"/>
            </w:pPr>
          </w:p>
          <w:p w:rsidR="002D6239" w:rsidRDefault="002D6239" w:rsidP="00E436A9">
            <w:pPr>
              <w:pStyle w:val="Infotext"/>
            </w:pPr>
          </w:p>
        </w:tc>
      </w:tr>
    </w:tbl>
    <w:p w:rsidR="00910765" w:rsidRDefault="00910765" w:rsidP="00114AB9">
      <w:pPr>
        <w:pStyle w:val="Heading1"/>
        <w:keepNext/>
      </w:pPr>
    </w:p>
    <w:p w:rsidR="00114AB9" w:rsidRPr="00CA60F9" w:rsidRDefault="00114AB9" w:rsidP="00114AB9">
      <w:pPr>
        <w:pStyle w:val="Heading1"/>
        <w:keepNext/>
      </w:pPr>
      <w:r w:rsidRPr="007116B1">
        <w:t xml:space="preserve">Section 3 - Procurement Officer </w:t>
      </w:r>
      <w:r w:rsidRPr="001A7CC7">
        <w:t xml:space="preserve">Clearance </w:t>
      </w:r>
    </w:p>
    <w:p w:rsidR="00114AB9" w:rsidRDefault="00114AB9" w:rsidP="00114AB9"/>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74"/>
        <w:gridCol w:w="403"/>
        <w:gridCol w:w="234"/>
        <w:gridCol w:w="3614"/>
      </w:tblGrid>
      <w:tr w:rsidR="00114AB9" w:rsidTr="002A0D64">
        <w:tc>
          <w:tcPr>
            <w:tcW w:w="4752" w:type="dxa"/>
            <w:tcBorders>
              <w:bottom w:val="nil"/>
              <w:right w:val="nil"/>
            </w:tcBorders>
          </w:tcPr>
          <w:p w:rsidR="00114AB9" w:rsidRDefault="00114AB9" w:rsidP="002A0D64">
            <w:pPr>
              <w:pStyle w:val="Infotext"/>
            </w:pPr>
          </w:p>
          <w:p w:rsidR="00114AB9" w:rsidRDefault="00114AB9" w:rsidP="002A0D64">
            <w:pPr>
              <w:pStyle w:val="Infotext"/>
            </w:pPr>
          </w:p>
        </w:tc>
        <w:tc>
          <w:tcPr>
            <w:tcW w:w="387" w:type="dxa"/>
            <w:tcBorders>
              <w:left w:val="nil"/>
              <w:right w:val="nil"/>
            </w:tcBorders>
          </w:tcPr>
          <w:p w:rsidR="00114AB9" w:rsidRDefault="00114AB9" w:rsidP="002A0D64">
            <w:pPr>
              <w:pStyle w:val="Infotext"/>
            </w:pPr>
          </w:p>
        </w:tc>
        <w:tc>
          <w:tcPr>
            <w:tcW w:w="236" w:type="dxa"/>
            <w:tcBorders>
              <w:left w:val="nil"/>
              <w:bottom w:val="nil"/>
              <w:right w:val="nil"/>
            </w:tcBorders>
          </w:tcPr>
          <w:p w:rsidR="00114AB9" w:rsidRDefault="00114AB9" w:rsidP="002A0D64">
            <w:pPr>
              <w:pStyle w:val="Infotext"/>
            </w:pPr>
          </w:p>
        </w:tc>
        <w:tc>
          <w:tcPr>
            <w:tcW w:w="3890" w:type="dxa"/>
            <w:tcBorders>
              <w:left w:val="nil"/>
              <w:bottom w:val="nil"/>
            </w:tcBorders>
          </w:tcPr>
          <w:p w:rsidR="00114AB9" w:rsidRDefault="00114AB9" w:rsidP="002A0D64">
            <w:pPr>
              <w:pStyle w:val="Infotext"/>
            </w:pPr>
          </w:p>
          <w:p w:rsidR="00114AB9" w:rsidRDefault="00114AB9" w:rsidP="002A0D64">
            <w:pPr>
              <w:pStyle w:val="Infotext"/>
            </w:pPr>
          </w:p>
        </w:tc>
      </w:tr>
      <w:tr w:rsidR="00114AB9" w:rsidTr="002A0D64">
        <w:tc>
          <w:tcPr>
            <w:tcW w:w="4752" w:type="dxa"/>
            <w:tcBorders>
              <w:top w:val="nil"/>
              <w:bottom w:val="nil"/>
            </w:tcBorders>
          </w:tcPr>
          <w:p w:rsidR="00114AB9" w:rsidRDefault="00114AB9" w:rsidP="00C737C8">
            <w:pPr>
              <w:pStyle w:val="Infotext"/>
            </w:pPr>
            <w:r>
              <w:t xml:space="preserve">Name: </w:t>
            </w:r>
            <w:r w:rsidR="00C737C8">
              <w:t xml:space="preserve"> </w:t>
            </w:r>
            <w:r w:rsidR="00910765">
              <w:t>Nimesh Mehta</w:t>
            </w:r>
          </w:p>
        </w:tc>
        <w:tc>
          <w:tcPr>
            <w:tcW w:w="387" w:type="dxa"/>
            <w:tcBorders>
              <w:bottom w:val="single" w:sz="4" w:space="0" w:color="auto"/>
            </w:tcBorders>
          </w:tcPr>
          <w:p w:rsidR="00114AB9" w:rsidRDefault="00FA1311" w:rsidP="002A0D64">
            <w:pPr>
              <w:pStyle w:val="Infotext"/>
            </w:pPr>
            <w:r>
              <w:t>X</w:t>
            </w:r>
          </w:p>
        </w:tc>
        <w:tc>
          <w:tcPr>
            <w:tcW w:w="236" w:type="dxa"/>
            <w:tcBorders>
              <w:top w:val="nil"/>
              <w:bottom w:val="nil"/>
              <w:right w:val="nil"/>
            </w:tcBorders>
          </w:tcPr>
          <w:p w:rsidR="00114AB9" w:rsidRDefault="00114AB9" w:rsidP="002A0D64">
            <w:pPr>
              <w:pStyle w:val="Infotext"/>
            </w:pPr>
          </w:p>
        </w:tc>
        <w:tc>
          <w:tcPr>
            <w:tcW w:w="3890" w:type="dxa"/>
            <w:tcBorders>
              <w:top w:val="nil"/>
              <w:left w:val="nil"/>
              <w:bottom w:val="nil"/>
            </w:tcBorders>
          </w:tcPr>
          <w:p w:rsidR="00114AB9" w:rsidRDefault="00114AB9" w:rsidP="002A0D64">
            <w:pPr>
              <w:pStyle w:val="Infotext"/>
            </w:pPr>
            <w:r>
              <w:t>Head of Procurement</w:t>
            </w:r>
          </w:p>
        </w:tc>
      </w:tr>
      <w:tr w:rsidR="00114AB9" w:rsidTr="002A0D64">
        <w:tc>
          <w:tcPr>
            <w:tcW w:w="4752" w:type="dxa"/>
            <w:tcBorders>
              <w:top w:val="nil"/>
              <w:right w:val="nil"/>
            </w:tcBorders>
          </w:tcPr>
          <w:p w:rsidR="00114AB9" w:rsidRDefault="00114AB9" w:rsidP="002A0D64">
            <w:pPr>
              <w:pStyle w:val="Infotext"/>
            </w:pPr>
            <w:r>
              <w:t xml:space="preserve"> </w:t>
            </w:r>
          </w:p>
          <w:p w:rsidR="00114AB9" w:rsidRDefault="00114AB9" w:rsidP="00C737C8">
            <w:pPr>
              <w:pStyle w:val="Infotext"/>
            </w:pPr>
            <w:r>
              <w:t xml:space="preserve">Date: </w:t>
            </w:r>
            <w:r w:rsidR="00C737C8">
              <w:t xml:space="preserve"> </w:t>
            </w:r>
            <w:r w:rsidR="00FA1311">
              <w:t>5</w:t>
            </w:r>
            <w:r w:rsidR="00FA1311" w:rsidRPr="00CA60F9">
              <w:rPr>
                <w:vertAlign w:val="superscript"/>
              </w:rPr>
              <w:t>th</w:t>
            </w:r>
            <w:r w:rsidR="00FA1311">
              <w:t xml:space="preserve"> May 2020</w:t>
            </w:r>
          </w:p>
        </w:tc>
        <w:tc>
          <w:tcPr>
            <w:tcW w:w="387" w:type="dxa"/>
            <w:tcBorders>
              <w:left w:val="nil"/>
              <w:bottom w:val="single" w:sz="4" w:space="0" w:color="auto"/>
              <w:right w:val="nil"/>
            </w:tcBorders>
          </w:tcPr>
          <w:p w:rsidR="00114AB9" w:rsidRDefault="00114AB9" w:rsidP="002A0D64">
            <w:pPr>
              <w:pStyle w:val="Infotext"/>
            </w:pPr>
          </w:p>
        </w:tc>
        <w:tc>
          <w:tcPr>
            <w:tcW w:w="236" w:type="dxa"/>
            <w:tcBorders>
              <w:top w:val="nil"/>
              <w:left w:val="nil"/>
              <w:right w:val="nil"/>
            </w:tcBorders>
          </w:tcPr>
          <w:p w:rsidR="00114AB9" w:rsidRDefault="00114AB9" w:rsidP="002A0D64">
            <w:pPr>
              <w:pStyle w:val="Infotext"/>
            </w:pPr>
          </w:p>
        </w:tc>
        <w:tc>
          <w:tcPr>
            <w:tcW w:w="3890" w:type="dxa"/>
            <w:tcBorders>
              <w:top w:val="nil"/>
              <w:left w:val="nil"/>
            </w:tcBorders>
          </w:tcPr>
          <w:p w:rsidR="00114AB9" w:rsidRDefault="00114AB9" w:rsidP="002A0D64">
            <w:pPr>
              <w:pStyle w:val="Infotext"/>
            </w:pPr>
          </w:p>
        </w:tc>
      </w:tr>
    </w:tbl>
    <w:p w:rsidR="00114AB9" w:rsidRDefault="00114AB9" w:rsidP="00114AB9"/>
    <w:p w:rsidR="007537BF" w:rsidRDefault="007537BF" w:rsidP="00114AB9"/>
    <w:p w:rsidR="007537BF" w:rsidRDefault="007537BF" w:rsidP="00114AB9"/>
    <w:p w:rsidR="007537BF" w:rsidRDefault="007537BF" w:rsidP="00114AB9"/>
    <w:p w:rsidR="007537BF" w:rsidRDefault="007537BF" w:rsidP="00114AB9"/>
    <w:p w:rsidR="007537BF" w:rsidRDefault="007537BF" w:rsidP="00114AB9"/>
    <w:p w:rsidR="007537BF" w:rsidRDefault="007537BF" w:rsidP="00114AB9"/>
    <w:p w:rsidR="007537BF" w:rsidRDefault="007537BF" w:rsidP="00114AB9"/>
    <w:p w:rsidR="00A1507D" w:rsidRPr="007116B1" w:rsidRDefault="00A1507D" w:rsidP="00A1507D">
      <w:pPr>
        <w:pStyle w:val="Heading1"/>
        <w:keepNext/>
        <w:rPr>
          <w:color w:val="FF0000"/>
        </w:rPr>
      </w:pPr>
      <w:r w:rsidRPr="007116B1">
        <w:lastRenderedPageBreak/>
        <w:t xml:space="preserve">Section 3 </w:t>
      </w:r>
      <w:r>
        <w:t>–</w:t>
      </w:r>
      <w:r w:rsidRPr="007116B1">
        <w:t xml:space="preserve"> </w:t>
      </w:r>
      <w:r>
        <w:t xml:space="preserve">Corporate Director </w:t>
      </w:r>
      <w:r w:rsidRPr="007116B1">
        <w:t>Clearance</w:t>
      </w:r>
      <w:r>
        <w:rPr>
          <w:color w:val="FF0000"/>
        </w:rPr>
        <w:t xml:space="preserve"> </w:t>
      </w:r>
    </w:p>
    <w:p w:rsidR="00A1507D" w:rsidRDefault="00A1507D" w:rsidP="00A71F05"/>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96"/>
        <w:gridCol w:w="403"/>
        <w:gridCol w:w="234"/>
        <w:gridCol w:w="3592"/>
      </w:tblGrid>
      <w:tr w:rsidR="00A1507D" w:rsidTr="0068726F">
        <w:tc>
          <w:tcPr>
            <w:tcW w:w="4752" w:type="dxa"/>
            <w:tcBorders>
              <w:bottom w:val="nil"/>
              <w:right w:val="nil"/>
            </w:tcBorders>
          </w:tcPr>
          <w:p w:rsidR="00A1507D" w:rsidRDefault="00A1507D" w:rsidP="0068726F">
            <w:pPr>
              <w:pStyle w:val="Infotext"/>
            </w:pPr>
          </w:p>
          <w:p w:rsidR="00A1507D" w:rsidRDefault="00A1507D" w:rsidP="0068726F">
            <w:pPr>
              <w:pStyle w:val="Infotext"/>
            </w:pPr>
          </w:p>
        </w:tc>
        <w:tc>
          <w:tcPr>
            <w:tcW w:w="387" w:type="dxa"/>
            <w:tcBorders>
              <w:left w:val="nil"/>
              <w:right w:val="nil"/>
            </w:tcBorders>
          </w:tcPr>
          <w:p w:rsidR="00A1507D" w:rsidRDefault="00A1507D" w:rsidP="0068726F">
            <w:pPr>
              <w:pStyle w:val="Infotext"/>
            </w:pPr>
          </w:p>
        </w:tc>
        <w:tc>
          <w:tcPr>
            <w:tcW w:w="236" w:type="dxa"/>
            <w:tcBorders>
              <w:left w:val="nil"/>
              <w:bottom w:val="nil"/>
              <w:right w:val="nil"/>
            </w:tcBorders>
          </w:tcPr>
          <w:p w:rsidR="00A1507D" w:rsidRDefault="00A1507D" w:rsidP="0068726F">
            <w:pPr>
              <w:pStyle w:val="Infotext"/>
            </w:pPr>
          </w:p>
        </w:tc>
        <w:tc>
          <w:tcPr>
            <w:tcW w:w="3890" w:type="dxa"/>
            <w:tcBorders>
              <w:left w:val="nil"/>
              <w:bottom w:val="nil"/>
            </w:tcBorders>
          </w:tcPr>
          <w:p w:rsidR="00A1507D" w:rsidRDefault="00A1507D" w:rsidP="0068726F">
            <w:pPr>
              <w:pStyle w:val="Infotext"/>
            </w:pPr>
          </w:p>
          <w:p w:rsidR="00A1507D" w:rsidRDefault="00A1507D" w:rsidP="0068726F">
            <w:pPr>
              <w:pStyle w:val="Infotext"/>
            </w:pPr>
          </w:p>
        </w:tc>
      </w:tr>
      <w:tr w:rsidR="00A1507D" w:rsidTr="0068726F">
        <w:tc>
          <w:tcPr>
            <w:tcW w:w="4752" w:type="dxa"/>
            <w:tcBorders>
              <w:top w:val="nil"/>
              <w:bottom w:val="nil"/>
            </w:tcBorders>
          </w:tcPr>
          <w:p w:rsidR="00A1507D" w:rsidRDefault="00A1507D" w:rsidP="007537BF">
            <w:pPr>
              <w:pStyle w:val="Infotext"/>
            </w:pPr>
            <w:r>
              <w:t xml:space="preserve">Name: </w:t>
            </w:r>
            <w:r w:rsidR="00910765">
              <w:t>Paul Hewitt</w:t>
            </w:r>
          </w:p>
        </w:tc>
        <w:tc>
          <w:tcPr>
            <w:tcW w:w="387" w:type="dxa"/>
            <w:tcBorders>
              <w:bottom w:val="single" w:sz="4" w:space="0" w:color="auto"/>
            </w:tcBorders>
          </w:tcPr>
          <w:p w:rsidR="00A1507D" w:rsidRDefault="00713625" w:rsidP="0068726F">
            <w:pPr>
              <w:pStyle w:val="Infotext"/>
            </w:pPr>
            <w:r>
              <w:t>X</w:t>
            </w:r>
          </w:p>
        </w:tc>
        <w:tc>
          <w:tcPr>
            <w:tcW w:w="236" w:type="dxa"/>
            <w:tcBorders>
              <w:top w:val="nil"/>
              <w:bottom w:val="nil"/>
              <w:right w:val="nil"/>
            </w:tcBorders>
          </w:tcPr>
          <w:p w:rsidR="00A1507D" w:rsidRDefault="00A1507D" w:rsidP="0068726F">
            <w:pPr>
              <w:pStyle w:val="Infotext"/>
            </w:pPr>
          </w:p>
        </w:tc>
        <w:tc>
          <w:tcPr>
            <w:tcW w:w="3890" w:type="dxa"/>
            <w:tcBorders>
              <w:top w:val="nil"/>
              <w:left w:val="nil"/>
              <w:bottom w:val="nil"/>
            </w:tcBorders>
          </w:tcPr>
          <w:p w:rsidR="00A1507D" w:rsidRDefault="00A1507D" w:rsidP="0068726F">
            <w:pPr>
              <w:pStyle w:val="Infotext"/>
            </w:pPr>
            <w:r>
              <w:t>Corporate Director</w:t>
            </w:r>
            <w:r w:rsidR="00713625">
              <w:t xml:space="preserve"> People Services</w:t>
            </w:r>
          </w:p>
        </w:tc>
      </w:tr>
      <w:tr w:rsidR="00A1507D" w:rsidTr="0068726F">
        <w:tc>
          <w:tcPr>
            <w:tcW w:w="4752" w:type="dxa"/>
            <w:tcBorders>
              <w:top w:val="nil"/>
              <w:right w:val="nil"/>
            </w:tcBorders>
          </w:tcPr>
          <w:p w:rsidR="00A1507D" w:rsidRDefault="00A1507D" w:rsidP="0068726F">
            <w:pPr>
              <w:pStyle w:val="Infotext"/>
            </w:pPr>
          </w:p>
          <w:p w:rsidR="00A1507D" w:rsidRDefault="00A1507D" w:rsidP="007537BF">
            <w:pPr>
              <w:pStyle w:val="Infotext"/>
            </w:pPr>
            <w:r>
              <w:t xml:space="preserve">Date: </w:t>
            </w:r>
            <w:r w:rsidR="00FA1311">
              <w:t>5</w:t>
            </w:r>
            <w:r w:rsidR="00FA1311" w:rsidRPr="00CA60F9">
              <w:rPr>
                <w:vertAlign w:val="superscript"/>
              </w:rPr>
              <w:t>th</w:t>
            </w:r>
            <w:r w:rsidR="00FA1311">
              <w:t xml:space="preserve"> May 2020</w:t>
            </w:r>
          </w:p>
        </w:tc>
        <w:tc>
          <w:tcPr>
            <w:tcW w:w="387" w:type="dxa"/>
            <w:tcBorders>
              <w:left w:val="nil"/>
              <w:bottom w:val="single" w:sz="4" w:space="0" w:color="auto"/>
              <w:right w:val="nil"/>
            </w:tcBorders>
          </w:tcPr>
          <w:p w:rsidR="00A1507D" w:rsidRDefault="00A1507D" w:rsidP="0068726F">
            <w:pPr>
              <w:pStyle w:val="Infotext"/>
            </w:pPr>
          </w:p>
        </w:tc>
        <w:tc>
          <w:tcPr>
            <w:tcW w:w="236" w:type="dxa"/>
            <w:tcBorders>
              <w:top w:val="nil"/>
              <w:left w:val="nil"/>
              <w:right w:val="nil"/>
            </w:tcBorders>
          </w:tcPr>
          <w:p w:rsidR="00A1507D" w:rsidRDefault="00A1507D" w:rsidP="0068726F">
            <w:pPr>
              <w:pStyle w:val="Infotext"/>
            </w:pPr>
          </w:p>
        </w:tc>
        <w:tc>
          <w:tcPr>
            <w:tcW w:w="3890" w:type="dxa"/>
            <w:tcBorders>
              <w:top w:val="nil"/>
              <w:left w:val="nil"/>
            </w:tcBorders>
          </w:tcPr>
          <w:p w:rsidR="00A1507D" w:rsidRDefault="00A1507D" w:rsidP="0068726F">
            <w:pPr>
              <w:pStyle w:val="Infotext"/>
            </w:pPr>
          </w:p>
        </w:tc>
      </w:tr>
    </w:tbl>
    <w:p w:rsidR="00A1507D" w:rsidRDefault="00A1507D" w:rsidP="00A71F05"/>
    <w:p w:rsidR="00A71F05" w:rsidRDefault="00A71F05" w:rsidP="00A71F05"/>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58"/>
        <w:gridCol w:w="3367"/>
      </w:tblGrid>
      <w:tr w:rsidR="00D3348C">
        <w:trPr>
          <w:trHeight w:val="965"/>
        </w:trPr>
        <w:tc>
          <w:tcPr>
            <w:tcW w:w="3025" w:type="pct"/>
            <w:tcBorders>
              <w:right w:val="nil"/>
            </w:tcBorders>
          </w:tcPr>
          <w:p w:rsidR="00D3348C" w:rsidRPr="00A1507D" w:rsidRDefault="00A1507D" w:rsidP="0060182B">
            <w:pPr>
              <w:pStyle w:val="Infotext"/>
              <w:rPr>
                <w:rFonts w:ascii="Arial Black" w:hAnsi="Arial Black"/>
                <w:color w:val="FF0000"/>
              </w:rPr>
            </w:pPr>
            <w:r w:rsidRPr="00A1507D">
              <w:rPr>
                <w:rFonts w:ascii="Arial Black" w:hAnsi="Arial Black"/>
                <w:color w:val="FF0000"/>
              </w:rPr>
              <w:t>MANDATORY</w:t>
            </w:r>
          </w:p>
          <w:p w:rsidR="00D3348C" w:rsidRDefault="00D3348C" w:rsidP="0060182B">
            <w:pPr>
              <w:pStyle w:val="Infotext"/>
              <w:rPr>
                <w:rFonts w:ascii="Arial Black" w:hAnsi="Arial Black"/>
              </w:rPr>
            </w:pPr>
            <w:r>
              <w:rPr>
                <w:rFonts w:ascii="Arial Black" w:hAnsi="Arial Black"/>
              </w:rPr>
              <w:t>Ward Councillors notified:</w:t>
            </w:r>
          </w:p>
          <w:p w:rsidR="00D3348C" w:rsidRDefault="00D3348C" w:rsidP="0060182B">
            <w:pPr>
              <w:pStyle w:val="Infotext"/>
            </w:pPr>
          </w:p>
        </w:tc>
        <w:tc>
          <w:tcPr>
            <w:tcW w:w="1975" w:type="pct"/>
            <w:tcBorders>
              <w:left w:val="nil"/>
            </w:tcBorders>
          </w:tcPr>
          <w:p w:rsidR="00D3348C" w:rsidRDefault="00D3348C" w:rsidP="0060182B">
            <w:pPr>
              <w:pStyle w:val="Infotext"/>
            </w:pPr>
          </w:p>
          <w:p w:rsidR="00D3348C" w:rsidRDefault="00910765" w:rsidP="0060182B">
            <w:pPr>
              <w:pStyle w:val="Infotext"/>
              <w:rPr>
                <w:i/>
                <w:sz w:val="24"/>
                <w:szCs w:val="24"/>
              </w:rPr>
            </w:pPr>
            <w:r>
              <w:rPr>
                <w:b/>
              </w:rPr>
              <w:t>No</w:t>
            </w:r>
          </w:p>
          <w:p w:rsidR="00D3348C" w:rsidRPr="003D78F6" w:rsidRDefault="00D3348C" w:rsidP="0060182B">
            <w:pPr>
              <w:pStyle w:val="Infotext"/>
              <w:ind w:left="173"/>
              <w:rPr>
                <w:i/>
                <w:sz w:val="24"/>
                <w:szCs w:val="24"/>
              </w:rPr>
            </w:pPr>
          </w:p>
        </w:tc>
      </w:tr>
      <w:tr w:rsidR="009404BD" w:rsidRPr="00303FD6">
        <w:trPr>
          <w:trHeight w:val="965"/>
        </w:trPr>
        <w:tc>
          <w:tcPr>
            <w:tcW w:w="3025" w:type="pct"/>
            <w:tcBorders>
              <w:top w:val="single" w:sz="4" w:space="0" w:color="auto"/>
              <w:left w:val="single" w:sz="4" w:space="0" w:color="auto"/>
              <w:bottom w:val="single" w:sz="4" w:space="0" w:color="auto"/>
              <w:right w:val="nil"/>
            </w:tcBorders>
          </w:tcPr>
          <w:p w:rsidR="009404BD" w:rsidRPr="009404BD" w:rsidRDefault="009404BD" w:rsidP="00FC6B66">
            <w:pPr>
              <w:pStyle w:val="Infotext"/>
              <w:rPr>
                <w:rFonts w:ascii="Arial Black" w:hAnsi="Arial Black"/>
              </w:rPr>
            </w:pPr>
          </w:p>
          <w:p w:rsidR="009404BD" w:rsidRPr="00202D79" w:rsidRDefault="009404BD" w:rsidP="00FC6B66">
            <w:pPr>
              <w:pStyle w:val="Infotext"/>
              <w:rPr>
                <w:rFonts w:ascii="Arial Black" w:hAnsi="Arial Black"/>
              </w:rPr>
            </w:pPr>
            <w:proofErr w:type="spellStart"/>
            <w:r w:rsidRPr="00202D79">
              <w:rPr>
                <w:rFonts w:ascii="Arial Black" w:hAnsi="Arial Black"/>
              </w:rPr>
              <w:t>EqIA</w:t>
            </w:r>
            <w:proofErr w:type="spellEnd"/>
            <w:r w:rsidRPr="00202D79">
              <w:rPr>
                <w:rFonts w:ascii="Arial Black" w:hAnsi="Arial Black"/>
              </w:rPr>
              <w:t xml:space="preserve"> carried out:</w:t>
            </w:r>
          </w:p>
          <w:p w:rsidR="009404BD" w:rsidRPr="00202D79" w:rsidRDefault="009404BD" w:rsidP="00FC6B66">
            <w:pPr>
              <w:pStyle w:val="Infotext"/>
              <w:rPr>
                <w:rFonts w:ascii="Arial Black" w:hAnsi="Arial Black"/>
              </w:rPr>
            </w:pPr>
          </w:p>
          <w:p w:rsidR="009404BD" w:rsidRPr="009404BD" w:rsidRDefault="009404BD" w:rsidP="00FC6B66">
            <w:pPr>
              <w:pStyle w:val="Infotext"/>
              <w:rPr>
                <w:rFonts w:ascii="Arial Black" w:hAnsi="Arial Black"/>
              </w:rPr>
            </w:pPr>
            <w:proofErr w:type="spellStart"/>
            <w:r w:rsidRPr="00202D79">
              <w:rPr>
                <w:rFonts w:ascii="Arial Black" w:hAnsi="Arial Black"/>
              </w:rPr>
              <w:t>EqIA</w:t>
            </w:r>
            <w:proofErr w:type="spellEnd"/>
            <w:r w:rsidRPr="00202D79">
              <w:rPr>
                <w:rFonts w:ascii="Arial Black" w:hAnsi="Arial Black"/>
              </w:rPr>
              <w:t xml:space="preserve"> cleared by:</w:t>
            </w:r>
          </w:p>
        </w:tc>
        <w:tc>
          <w:tcPr>
            <w:tcW w:w="1975" w:type="pct"/>
            <w:tcBorders>
              <w:top w:val="single" w:sz="4" w:space="0" w:color="auto"/>
              <w:left w:val="nil"/>
              <w:bottom w:val="single" w:sz="4" w:space="0" w:color="auto"/>
              <w:right w:val="single" w:sz="4" w:space="0" w:color="auto"/>
            </w:tcBorders>
          </w:tcPr>
          <w:p w:rsidR="009404BD" w:rsidRPr="009404BD" w:rsidRDefault="009404BD" w:rsidP="00FC6B66">
            <w:pPr>
              <w:pStyle w:val="Infotext"/>
            </w:pPr>
          </w:p>
          <w:p w:rsidR="009404BD" w:rsidRPr="009404BD" w:rsidRDefault="00910765" w:rsidP="00FC6B66">
            <w:pPr>
              <w:pStyle w:val="Infotext"/>
            </w:pPr>
            <w:r>
              <w:t>No</w:t>
            </w:r>
            <w:r w:rsidR="009404BD" w:rsidRPr="009404BD">
              <w:t xml:space="preserve"> </w:t>
            </w:r>
          </w:p>
          <w:p w:rsidR="009404BD" w:rsidRPr="009404BD" w:rsidRDefault="009404BD" w:rsidP="00FC6B66">
            <w:pPr>
              <w:pStyle w:val="Infotext"/>
            </w:pPr>
          </w:p>
          <w:p w:rsidR="009404BD" w:rsidRPr="00202D79" w:rsidRDefault="00910765" w:rsidP="00FC6B66">
            <w:pPr>
              <w:pStyle w:val="Infotext"/>
            </w:pPr>
            <w:r>
              <w:t xml:space="preserve">An EQIA has not been undertaken but this additional funding will have a positive impact on all the protected characteristics. </w:t>
            </w:r>
          </w:p>
          <w:p w:rsidR="009404BD" w:rsidRPr="009404BD" w:rsidRDefault="009404BD" w:rsidP="00FC6B66">
            <w:pPr>
              <w:pStyle w:val="Infotext"/>
            </w:pPr>
          </w:p>
        </w:tc>
      </w:tr>
    </w:tbl>
    <w:p w:rsidR="00D3348C" w:rsidRDefault="00D3348C" w:rsidP="00A71F05"/>
    <w:p w:rsidR="00A71F05" w:rsidRDefault="00A71F05" w:rsidP="00A71F05">
      <w:pPr>
        <w:pStyle w:val="Heading1"/>
        <w:keepNext/>
      </w:pPr>
      <w:r>
        <w:t xml:space="preserve">Section </w:t>
      </w:r>
      <w:r w:rsidR="009404BD">
        <w:t>4</w:t>
      </w:r>
      <w:r>
        <w:t xml:space="preserve"> - Contact Details and Background Papers</w:t>
      </w:r>
    </w:p>
    <w:p w:rsidR="00A71F05" w:rsidRDefault="00A71F05" w:rsidP="00A71F05">
      <w:pPr>
        <w:keepNext/>
        <w:rPr>
          <w:rFonts w:cs="Arial"/>
        </w:rPr>
      </w:pPr>
    </w:p>
    <w:p w:rsidR="009404BD" w:rsidRPr="00CA60F9" w:rsidRDefault="00A71F05" w:rsidP="009404BD">
      <w:pPr>
        <w:pStyle w:val="Infotext"/>
        <w:rPr>
          <w:sz w:val="24"/>
          <w:szCs w:val="24"/>
        </w:rPr>
      </w:pPr>
      <w:r w:rsidRPr="00EE7076">
        <w:rPr>
          <w:b/>
        </w:rPr>
        <w:t>Contact:</w:t>
      </w:r>
      <w:r>
        <w:t xml:space="preserve">  </w:t>
      </w:r>
      <w:r w:rsidR="00910765" w:rsidRPr="00CA60F9">
        <w:rPr>
          <w:sz w:val="24"/>
          <w:szCs w:val="24"/>
        </w:rPr>
        <w:t>Johanna Morgan</w:t>
      </w:r>
      <w:r w:rsidR="009404BD" w:rsidRPr="00CA60F9">
        <w:rPr>
          <w:sz w:val="24"/>
          <w:szCs w:val="24"/>
        </w:rPr>
        <w:t xml:space="preserve">, </w:t>
      </w:r>
      <w:r w:rsidR="0058705B" w:rsidRPr="00CA60F9">
        <w:rPr>
          <w:sz w:val="24"/>
          <w:szCs w:val="24"/>
        </w:rPr>
        <w:t>Divisional Director People Ser</w:t>
      </w:r>
      <w:r w:rsidR="00910765" w:rsidRPr="00CA60F9">
        <w:rPr>
          <w:sz w:val="24"/>
          <w:szCs w:val="24"/>
        </w:rPr>
        <w:t xml:space="preserve">vices </w:t>
      </w:r>
      <w:r w:rsidR="0058705B" w:rsidRPr="00CA60F9">
        <w:rPr>
          <w:sz w:val="24"/>
          <w:szCs w:val="24"/>
        </w:rPr>
        <w:t>0208 736 6841, johanna.morgan@harrow.gov.uk</w:t>
      </w:r>
      <w:r w:rsidR="009404BD" w:rsidRPr="00CA60F9">
        <w:rPr>
          <w:sz w:val="24"/>
          <w:szCs w:val="24"/>
        </w:rPr>
        <w:t>.</w:t>
      </w:r>
    </w:p>
    <w:p w:rsidR="00A71F05" w:rsidRPr="00D202AA" w:rsidRDefault="00A71F05" w:rsidP="00A71F05"/>
    <w:p w:rsidR="00391410" w:rsidRDefault="00A71F05" w:rsidP="0058705B">
      <w:pPr>
        <w:pStyle w:val="Infotext"/>
        <w:rPr>
          <w:sz w:val="24"/>
          <w:szCs w:val="24"/>
        </w:rPr>
      </w:pPr>
      <w:r w:rsidRPr="00EE7076">
        <w:rPr>
          <w:b/>
        </w:rPr>
        <w:t>Background Papers</w:t>
      </w:r>
      <w:r w:rsidR="0058705B">
        <w:rPr>
          <w:b/>
        </w:rPr>
        <w:t xml:space="preserve">: </w:t>
      </w:r>
      <w:r w:rsidR="00D202AA">
        <w:rPr>
          <w:b/>
        </w:rPr>
        <w:tab/>
      </w:r>
      <w:r w:rsidR="0058705B" w:rsidRPr="0058705B">
        <w:rPr>
          <w:sz w:val="24"/>
          <w:szCs w:val="24"/>
        </w:rPr>
        <w:t>None</w:t>
      </w:r>
    </w:p>
    <w:p w:rsidR="007537BF" w:rsidRPr="00391410" w:rsidRDefault="007537BF" w:rsidP="0058705B">
      <w:pPr>
        <w:pStyle w:val="Infotext"/>
        <w:rPr>
          <w:b/>
          <w:i/>
        </w:rPr>
      </w:pPr>
    </w:p>
    <w:tbl>
      <w:tblPr>
        <w:tblW w:w="5198" w:type="pct"/>
        <w:tblCellMar>
          <w:left w:w="97" w:type="dxa"/>
          <w:right w:w="97" w:type="dxa"/>
        </w:tblCellMar>
        <w:tblLook w:val="0000" w:firstRow="0" w:lastRow="0" w:firstColumn="0" w:lastColumn="0" w:noHBand="0" w:noVBand="0"/>
      </w:tblPr>
      <w:tblGrid>
        <w:gridCol w:w="1897"/>
        <w:gridCol w:w="6943"/>
      </w:tblGrid>
      <w:tr w:rsidR="00AB06F3">
        <w:tc>
          <w:tcPr>
            <w:tcW w:w="1073" w:type="pct"/>
          </w:tcPr>
          <w:p w:rsidR="00AB06F3" w:rsidRDefault="00AB06F3" w:rsidP="00E436A9">
            <w:pPr>
              <w:rPr>
                <w:rFonts w:cs="Arial"/>
              </w:rPr>
            </w:pPr>
          </w:p>
          <w:p w:rsidR="00AB06F3" w:rsidRDefault="00AB06F3" w:rsidP="00E436A9">
            <w:pPr>
              <w:rPr>
                <w:rFonts w:cs="Arial"/>
              </w:rPr>
            </w:pPr>
            <w:r>
              <w:rPr>
                <w:rFonts w:cs="Arial"/>
              </w:rPr>
              <w:t>Signature:</w:t>
            </w:r>
          </w:p>
        </w:tc>
        <w:tc>
          <w:tcPr>
            <w:tcW w:w="3927" w:type="pct"/>
          </w:tcPr>
          <w:p w:rsidR="00AB06F3" w:rsidRDefault="00AB06F3" w:rsidP="00E436A9">
            <w:pPr>
              <w:rPr>
                <w:rFonts w:cs="Arial"/>
              </w:rPr>
            </w:pPr>
          </w:p>
          <w:p w:rsidR="00AB06F3" w:rsidRDefault="007537BF" w:rsidP="00E436A9">
            <w:pPr>
              <w:rPr>
                <w:rFonts w:cs="Arial"/>
              </w:rPr>
            </w:pPr>
            <w:r>
              <w:rPr>
                <w:rFonts w:cs="Arial"/>
              </w:rPr>
              <w:t>Paul Hewitt</w:t>
            </w:r>
          </w:p>
        </w:tc>
      </w:tr>
      <w:tr w:rsidR="00AB06F3">
        <w:tc>
          <w:tcPr>
            <w:tcW w:w="1073" w:type="pct"/>
          </w:tcPr>
          <w:p w:rsidR="00AB06F3" w:rsidRDefault="00AB06F3" w:rsidP="00E436A9">
            <w:pPr>
              <w:rPr>
                <w:rFonts w:cs="Arial"/>
              </w:rPr>
            </w:pPr>
          </w:p>
          <w:p w:rsidR="00AB06F3" w:rsidRDefault="00AB06F3" w:rsidP="00E436A9">
            <w:pPr>
              <w:rPr>
                <w:rFonts w:cs="Arial"/>
              </w:rPr>
            </w:pPr>
            <w:r>
              <w:rPr>
                <w:rFonts w:cs="Arial"/>
              </w:rPr>
              <w:t>Position:</w:t>
            </w:r>
          </w:p>
        </w:tc>
        <w:tc>
          <w:tcPr>
            <w:tcW w:w="3927" w:type="pct"/>
          </w:tcPr>
          <w:p w:rsidR="00AB06F3" w:rsidRDefault="00AB06F3" w:rsidP="00E436A9"/>
          <w:p w:rsidR="00AB06F3" w:rsidRDefault="0058705B" w:rsidP="007537BF">
            <w:pPr>
              <w:rPr>
                <w:rFonts w:cs="Arial"/>
              </w:rPr>
            </w:pPr>
            <w:r>
              <w:t>Corporate Director People Services</w:t>
            </w:r>
          </w:p>
        </w:tc>
      </w:tr>
      <w:tr w:rsidR="00AB06F3">
        <w:tc>
          <w:tcPr>
            <w:tcW w:w="1073" w:type="pct"/>
          </w:tcPr>
          <w:p w:rsidR="00AB06F3" w:rsidRDefault="00AB06F3" w:rsidP="00E436A9">
            <w:pPr>
              <w:rPr>
                <w:rFonts w:cs="Arial"/>
              </w:rPr>
            </w:pPr>
          </w:p>
          <w:p w:rsidR="00AB06F3" w:rsidRDefault="00AB06F3" w:rsidP="00E436A9">
            <w:pPr>
              <w:rPr>
                <w:rFonts w:cs="Arial"/>
              </w:rPr>
            </w:pPr>
            <w:r>
              <w:rPr>
                <w:rFonts w:cs="Arial"/>
              </w:rPr>
              <w:t>Name: (print)</w:t>
            </w:r>
          </w:p>
        </w:tc>
        <w:tc>
          <w:tcPr>
            <w:tcW w:w="3927" w:type="pct"/>
          </w:tcPr>
          <w:p w:rsidR="00AB06F3" w:rsidRDefault="00AB06F3" w:rsidP="00E436A9">
            <w:pPr>
              <w:rPr>
                <w:rFonts w:cs="Arial"/>
              </w:rPr>
            </w:pPr>
          </w:p>
          <w:p w:rsidR="00AB06F3" w:rsidRDefault="0058705B" w:rsidP="007537BF">
            <w:pPr>
              <w:rPr>
                <w:rFonts w:cs="Arial"/>
              </w:rPr>
            </w:pPr>
            <w:r>
              <w:t xml:space="preserve">Paul Hewitt </w:t>
            </w:r>
          </w:p>
        </w:tc>
      </w:tr>
      <w:tr w:rsidR="00AB06F3">
        <w:tc>
          <w:tcPr>
            <w:tcW w:w="1073" w:type="pct"/>
          </w:tcPr>
          <w:p w:rsidR="00AB06F3" w:rsidRDefault="00AB06F3" w:rsidP="00E436A9">
            <w:pPr>
              <w:rPr>
                <w:rFonts w:cs="Arial"/>
              </w:rPr>
            </w:pPr>
          </w:p>
          <w:p w:rsidR="00AB06F3" w:rsidRDefault="00AB06F3" w:rsidP="00E436A9">
            <w:pPr>
              <w:rPr>
                <w:rFonts w:cs="Arial"/>
              </w:rPr>
            </w:pPr>
            <w:r>
              <w:rPr>
                <w:rFonts w:cs="Arial"/>
              </w:rPr>
              <w:t>Date:</w:t>
            </w:r>
          </w:p>
        </w:tc>
        <w:tc>
          <w:tcPr>
            <w:tcW w:w="3927" w:type="pct"/>
          </w:tcPr>
          <w:p w:rsidR="00AB06F3" w:rsidRDefault="00AB06F3" w:rsidP="00E436A9">
            <w:pPr>
              <w:rPr>
                <w:rFonts w:cs="Arial"/>
              </w:rPr>
            </w:pPr>
          </w:p>
          <w:p w:rsidR="00AB06F3" w:rsidRDefault="007537BF" w:rsidP="00E436A9">
            <w:pPr>
              <w:rPr>
                <w:rFonts w:cs="Arial"/>
              </w:rPr>
            </w:pPr>
            <w:r>
              <w:rPr>
                <w:rFonts w:cs="Arial"/>
              </w:rPr>
              <w:t>6 May 2020</w:t>
            </w:r>
          </w:p>
        </w:tc>
      </w:tr>
    </w:tbl>
    <w:p w:rsidR="00526E5E" w:rsidRPr="000519B7" w:rsidRDefault="00526E5E" w:rsidP="00A71F05">
      <w:pPr>
        <w:pStyle w:val="Infotext"/>
        <w:rPr>
          <w:rFonts w:cs="Arial"/>
          <w:color w:val="FF0000"/>
          <w:sz w:val="24"/>
        </w:rPr>
      </w:pPr>
    </w:p>
    <w:p w:rsidR="00ED16C0" w:rsidRDefault="00ED16C0" w:rsidP="00ED16C0">
      <w:pPr>
        <w:rPr>
          <w:rFonts w:cs="Arial"/>
          <w:b/>
          <w:bCs/>
          <w:i/>
          <w:iCs/>
        </w:rPr>
      </w:pPr>
    </w:p>
    <w:p w:rsidR="00ED16C0" w:rsidRDefault="00ED16C0" w:rsidP="00ED16C0">
      <w:pPr>
        <w:keepNext/>
        <w:rPr>
          <w:rFonts w:cs="Arial"/>
          <w:b/>
          <w:bCs/>
        </w:rPr>
      </w:pPr>
      <w:r>
        <w:rPr>
          <w:rFonts w:cs="Arial"/>
          <w:b/>
          <w:bCs/>
          <w:sz w:val="32"/>
          <w:szCs w:val="32"/>
        </w:rPr>
        <w:lastRenderedPageBreak/>
        <w:t>For Leader</w:t>
      </w:r>
    </w:p>
    <w:p w:rsidR="00ED16C0" w:rsidRDefault="00ED16C0" w:rsidP="00ED16C0">
      <w:pPr>
        <w:keepNext/>
        <w:rPr>
          <w:rFonts w:cs="Arial"/>
          <w:b/>
          <w:bCs/>
          <w:i/>
          <w:iCs/>
        </w:rPr>
      </w:pPr>
    </w:p>
    <w:tbl>
      <w:tblPr>
        <w:tblW w:w="5000" w:type="pct"/>
        <w:tblCellMar>
          <w:left w:w="97" w:type="dxa"/>
          <w:right w:w="97" w:type="dxa"/>
        </w:tblCellMar>
        <w:tblLook w:val="0000" w:firstRow="0" w:lastRow="0" w:firstColumn="0" w:lastColumn="0" w:noHBand="0" w:noVBand="0"/>
      </w:tblPr>
      <w:tblGrid>
        <w:gridCol w:w="8503"/>
      </w:tblGrid>
      <w:tr w:rsidR="00ED16C0">
        <w:trPr>
          <w:cantSplit/>
        </w:trPr>
        <w:tc>
          <w:tcPr>
            <w:tcW w:w="5000" w:type="pct"/>
          </w:tcPr>
          <w:p w:rsidR="00ED16C0" w:rsidRDefault="00ED16C0" w:rsidP="00AD3194">
            <w:pPr>
              <w:rPr>
                <w:rFonts w:cs="Arial"/>
              </w:rPr>
            </w:pPr>
            <w:r>
              <w:rPr>
                <w:rFonts w:cs="Arial"/>
              </w:rPr>
              <w:t>* I do agree to the decision proposed</w:t>
            </w:r>
          </w:p>
          <w:p w:rsidR="00ED16C0" w:rsidRDefault="00ED16C0" w:rsidP="00AD3194">
            <w:pPr>
              <w:rPr>
                <w:rFonts w:cs="Arial"/>
              </w:rPr>
            </w:pPr>
          </w:p>
          <w:p w:rsidR="00ED16C0" w:rsidRDefault="00ED16C0" w:rsidP="00AD3194">
            <w:pPr>
              <w:rPr>
                <w:rFonts w:cs="Arial"/>
              </w:rPr>
            </w:pPr>
          </w:p>
          <w:p w:rsidR="00ED16C0" w:rsidRDefault="00ED16C0" w:rsidP="00AD3194">
            <w:pPr>
              <w:rPr>
                <w:rFonts w:cs="Arial"/>
              </w:rPr>
            </w:pPr>
            <w:r>
              <w:rPr>
                <w:rFonts w:cs="Arial"/>
              </w:rPr>
              <w:t>* I do not agree to the decision proposed</w:t>
            </w:r>
          </w:p>
          <w:p w:rsidR="00ED16C0" w:rsidRDefault="00ED16C0" w:rsidP="00AD3194">
            <w:pPr>
              <w:rPr>
                <w:rFonts w:cs="Arial"/>
              </w:rPr>
            </w:pPr>
          </w:p>
          <w:p w:rsidR="00ED16C0" w:rsidRDefault="00ED16C0" w:rsidP="00AD3194">
            <w:pPr>
              <w:rPr>
                <w:rFonts w:cs="Arial"/>
              </w:rPr>
            </w:pPr>
          </w:p>
          <w:p w:rsidR="00ED16C0" w:rsidRPr="00315EC9" w:rsidRDefault="00ED16C0" w:rsidP="00AD3194">
            <w:pPr>
              <w:rPr>
                <w:rFonts w:cs="Arial"/>
                <w:i/>
              </w:rPr>
            </w:pPr>
            <w:r w:rsidRPr="00315EC9">
              <w:rPr>
                <w:rFonts w:cs="Arial"/>
                <w:i/>
              </w:rPr>
              <w:t>* Please delete as appropriate</w:t>
            </w:r>
          </w:p>
          <w:p w:rsidR="00ED16C0" w:rsidRDefault="00ED16C0" w:rsidP="00AD3194">
            <w:pPr>
              <w:rPr>
                <w:rFonts w:cs="Arial"/>
              </w:rPr>
            </w:pPr>
          </w:p>
          <w:p w:rsidR="00ED16C0" w:rsidRDefault="00ED16C0" w:rsidP="00AD3194">
            <w:pPr>
              <w:rPr>
                <w:rFonts w:cs="Arial"/>
              </w:rPr>
            </w:pPr>
          </w:p>
          <w:p w:rsidR="00ED16C0" w:rsidRPr="00A90B97" w:rsidRDefault="00ED16C0" w:rsidP="00AD3194">
            <w:pPr>
              <w:rPr>
                <w:rFonts w:cs="Arial"/>
              </w:rPr>
            </w:pPr>
            <w:r w:rsidRPr="00A90B97">
              <w:rPr>
                <w:rFonts w:cs="Arial"/>
              </w:rPr>
              <w:t xml:space="preserve">Notification of </w:t>
            </w:r>
            <w:r>
              <w:rPr>
                <w:rFonts w:cs="Arial"/>
              </w:rPr>
              <w:t>disclosable non-pecuniary and pecuniary</w:t>
            </w:r>
            <w:r w:rsidRPr="00A90B97">
              <w:rPr>
                <w:rFonts w:cs="Arial"/>
              </w:rPr>
              <w:t xml:space="preserve"> interests (if any):</w:t>
            </w:r>
          </w:p>
          <w:p w:rsidR="00ED16C0" w:rsidRPr="00A90B97" w:rsidRDefault="00ED16C0" w:rsidP="00AD3194">
            <w:pPr>
              <w:rPr>
                <w:rFonts w:cs="Arial"/>
              </w:rPr>
            </w:pPr>
          </w:p>
          <w:p w:rsidR="00ED16C0" w:rsidRDefault="00ED16C0" w:rsidP="00AD3194">
            <w:pPr>
              <w:rPr>
                <w:rFonts w:cs="Arial"/>
              </w:rPr>
            </w:pPr>
          </w:p>
          <w:p w:rsidR="00ED16C0" w:rsidRPr="00A90B97" w:rsidRDefault="00ED16C0" w:rsidP="00AD3194">
            <w:pPr>
              <w:rPr>
                <w:rFonts w:cs="Arial"/>
              </w:rPr>
            </w:pPr>
            <w:r>
              <w:rPr>
                <w:rFonts w:cs="Arial"/>
              </w:rPr>
              <w:t>[Should you have a disclosable pecuniary interest, you should not take this decision.]</w:t>
            </w:r>
          </w:p>
          <w:p w:rsidR="00ED16C0" w:rsidRDefault="00ED16C0" w:rsidP="00AD3194">
            <w:pPr>
              <w:rPr>
                <w:rFonts w:cs="Arial"/>
              </w:rPr>
            </w:pPr>
          </w:p>
          <w:p w:rsidR="00ED16C0" w:rsidRDefault="00ED16C0" w:rsidP="00AD3194">
            <w:pPr>
              <w:rPr>
                <w:rFonts w:cs="Arial"/>
              </w:rPr>
            </w:pPr>
            <w:r>
              <w:rPr>
                <w:rFonts w:cs="Arial"/>
              </w:rPr>
              <w:t>Additional comments made by and/or options considered by the Portfolio Holder</w:t>
            </w:r>
          </w:p>
          <w:p w:rsidR="00ED16C0" w:rsidRDefault="00ED16C0" w:rsidP="00AD3194">
            <w:pPr>
              <w:rPr>
                <w:rFonts w:cs="Arial"/>
              </w:rPr>
            </w:pPr>
          </w:p>
          <w:p w:rsidR="00ED16C0" w:rsidRDefault="00ED16C0" w:rsidP="00AD3194">
            <w:pPr>
              <w:rPr>
                <w:rFonts w:cs="Arial"/>
              </w:rPr>
            </w:pPr>
          </w:p>
          <w:p w:rsidR="00ED16C0" w:rsidRDefault="00ED16C0" w:rsidP="00AD3194">
            <w:pPr>
              <w:rPr>
                <w:rFonts w:cs="Arial"/>
              </w:rPr>
            </w:pPr>
          </w:p>
        </w:tc>
      </w:tr>
    </w:tbl>
    <w:p w:rsidR="00ED16C0" w:rsidRDefault="00ED16C0" w:rsidP="00ED16C0">
      <w:pPr>
        <w:rPr>
          <w:rFonts w:cs="Arial"/>
        </w:rPr>
      </w:pPr>
    </w:p>
    <w:tbl>
      <w:tblPr>
        <w:tblW w:w="5000" w:type="pct"/>
        <w:tblCellMar>
          <w:left w:w="97" w:type="dxa"/>
          <w:right w:w="97" w:type="dxa"/>
        </w:tblCellMar>
        <w:tblLook w:val="0000" w:firstRow="0" w:lastRow="0" w:firstColumn="0" w:lastColumn="0" w:noHBand="0" w:noVBand="0"/>
      </w:tblPr>
      <w:tblGrid>
        <w:gridCol w:w="1561"/>
        <w:gridCol w:w="6942"/>
      </w:tblGrid>
      <w:tr w:rsidR="00ED16C0">
        <w:tc>
          <w:tcPr>
            <w:tcW w:w="918" w:type="pct"/>
          </w:tcPr>
          <w:p w:rsidR="00ED16C0" w:rsidRDefault="00ED16C0" w:rsidP="00AD3194">
            <w:pPr>
              <w:rPr>
                <w:rFonts w:cs="Arial"/>
              </w:rPr>
            </w:pPr>
          </w:p>
          <w:p w:rsidR="00ED16C0" w:rsidRDefault="00ED16C0" w:rsidP="00AD3194">
            <w:pPr>
              <w:rPr>
                <w:rFonts w:cs="Arial"/>
              </w:rPr>
            </w:pPr>
            <w:r>
              <w:rPr>
                <w:rFonts w:cs="Arial"/>
              </w:rPr>
              <w:t>Signature:</w:t>
            </w:r>
          </w:p>
        </w:tc>
        <w:tc>
          <w:tcPr>
            <w:tcW w:w="4082" w:type="pct"/>
          </w:tcPr>
          <w:p w:rsidR="00ED16C0" w:rsidRDefault="00ED16C0" w:rsidP="00AD3194">
            <w:pPr>
              <w:rPr>
                <w:rFonts w:cs="Arial"/>
              </w:rPr>
            </w:pPr>
          </w:p>
          <w:p w:rsidR="00ED16C0" w:rsidRDefault="00ED16C0" w:rsidP="00AD3194">
            <w:pPr>
              <w:rPr>
                <w:rFonts w:cs="Arial"/>
              </w:rPr>
            </w:pPr>
            <w:r>
              <w:rPr>
                <w:rFonts w:cs="Arial"/>
              </w:rPr>
              <w:t>…………………………………………………………………………</w:t>
            </w:r>
          </w:p>
        </w:tc>
      </w:tr>
      <w:tr w:rsidR="00ED16C0">
        <w:tc>
          <w:tcPr>
            <w:tcW w:w="918" w:type="pct"/>
          </w:tcPr>
          <w:p w:rsidR="00ED16C0" w:rsidRDefault="00ED16C0" w:rsidP="00AD3194">
            <w:pPr>
              <w:rPr>
                <w:rFonts w:cs="Arial"/>
              </w:rPr>
            </w:pPr>
          </w:p>
          <w:p w:rsidR="00ED16C0" w:rsidRDefault="00ED16C0" w:rsidP="00AD3194">
            <w:pPr>
              <w:rPr>
                <w:rFonts w:cs="Arial"/>
              </w:rPr>
            </w:pPr>
          </w:p>
        </w:tc>
        <w:tc>
          <w:tcPr>
            <w:tcW w:w="4082" w:type="pct"/>
          </w:tcPr>
          <w:p w:rsidR="00ED16C0" w:rsidRDefault="00ED16C0" w:rsidP="00AD3194">
            <w:pPr>
              <w:rPr>
                <w:rFonts w:cs="Arial"/>
                <w:i/>
              </w:rPr>
            </w:pPr>
          </w:p>
          <w:p w:rsidR="00ED16C0" w:rsidRDefault="00ED16C0" w:rsidP="00AD3194">
            <w:pPr>
              <w:rPr>
                <w:rFonts w:cs="Arial"/>
                <w:iCs/>
              </w:rPr>
            </w:pPr>
            <w:r>
              <w:rPr>
                <w:rFonts w:cs="Arial"/>
                <w:iCs/>
              </w:rPr>
              <w:t>Leader</w:t>
            </w:r>
          </w:p>
        </w:tc>
      </w:tr>
      <w:tr w:rsidR="00ED16C0">
        <w:tc>
          <w:tcPr>
            <w:tcW w:w="918" w:type="pct"/>
          </w:tcPr>
          <w:p w:rsidR="00ED16C0" w:rsidRDefault="00ED16C0" w:rsidP="00AD3194">
            <w:pPr>
              <w:rPr>
                <w:rFonts w:cs="Arial"/>
              </w:rPr>
            </w:pPr>
          </w:p>
          <w:p w:rsidR="00ED16C0" w:rsidRDefault="00ED16C0" w:rsidP="00AD3194">
            <w:pPr>
              <w:rPr>
                <w:rFonts w:cs="Arial"/>
              </w:rPr>
            </w:pPr>
            <w:r>
              <w:rPr>
                <w:rFonts w:cs="Arial"/>
              </w:rPr>
              <w:t>Date:</w:t>
            </w:r>
          </w:p>
          <w:p w:rsidR="00ED16C0" w:rsidRDefault="00ED16C0" w:rsidP="00AD3194">
            <w:pPr>
              <w:rPr>
                <w:rFonts w:cs="Arial"/>
              </w:rPr>
            </w:pPr>
          </w:p>
        </w:tc>
        <w:tc>
          <w:tcPr>
            <w:tcW w:w="4082" w:type="pct"/>
          </w:tcPr>
          <w:p w:rsidR="00ED16C0" w:rsidRDefault="00ED16C0" w:rsidP="00AD3194">
            <w:pPr>
              <w:rPr>
                <w:rFonts w:cs="Arial"/>
              </w:rPr>
            </w:pPr>
          </w:p>
        </w:tc>
      </w:tr>
    </w:tbl>
    <w:p w:rsidR="00ED16C0" w:rsidRDefault="00ED16C0" w:rsidP="00ED16C0"/>
    <w:p w:rsidR="00ED16C0" w:rsidRDefault="00ED16C0" w:rsidP="00ED16C0"/>
    <w:p w:rsidR="00ED16C0" w:rsidRDefault="00ED16C0" w:rsidP="00ED16C0"/>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68"/>
        <w:gridCol w:w="547"/>
        <w:gridCol w:w="4210"/>
      </w:tblGrid>
      <w:tr w:rsidR="00ED16C0">
        <w:trPr>
          <w:trHeight w:val="965"/>
        </w:trPr>
        <w:tc>
          <w:tcPr>
            <w:tcW w:w="2210" w:type="pct"/>
            <w:tcBorders>
              <w:right w:val="nil"/>
            </w:tcBorders>
          </w:tcPr>
          <w:p w:rsidR="00ED16C0" w:rsidRDefault="00ED16C0" w:rsidP="00AD3194">
            <w:pPr>
              <w:pStyle w:val="Infotext"/>
            </w:pPr>
          </w:p>
          <w:p w:rsidR="00ED16C0" w:rsidRPr="00B33FE6" w:rsidRDefault="00E12B18" w:rsidP="00AD3194">
            <w:pPr>
              <w:pStyle w:val="Infotext"/>
              <w:rPr>
                <w:rFonts w:ascii="Arial Black" w:hAnsi="Arial Black"/>
              </w:rPr>
            </w:pPr>
            <w:r>
              <w:rPr>
                <w:rFonts w:ascii="Arial Black" w:hAnsi="Arial Black"/>
              </w:rPr>
              <w:t>Call-In Waived by the Chair</w:t>
            </w:r>
            <w:r w:rsidR="00ED16C0" w:rsidRPr="00B33FE6">
              <w:rPr>
                <w:rFonts w:ascii="Arial Black" w:hAnsi="Arial Black"/>
              </w:rPr>
              <w:t xml:space="preserve"> of Overview and Scrutiny Committee</w:t>
            </w:r>
          </w:p>
          <w:p w:rsidR="00ED16C0" w:rsidRDefault="00ED16C0" w:rsidP="00AD3194">
            <w:pPr>
              <w:pStyle w:val="Infotext"/>
            </w:pPr>
          </w:p>
          <w:p w:rsidR="00ED16C0" w:rsidRDefault="00ED16C0" w:rsidP="0086701E">
            <w:pPr>
              <w:pStyle w:val="Infotext"/>
            </w:pPr>
          </w:p>
        </w:tc>
        <w:tc>
          <w:tcPr>
            <w:tcW w:w="321" w:type="pct"/>
            <w:tcBorders>
              <w:left w:val="nil"/>
              <w:right w:val="nil"/>
            </w:tcBorders>
          </w:tcPr>
          <w:p w:rsidR="00ED16C0" w:rsidRDefault="00ED16C0" w:rsidP="00AD3194">
            <w:pPr>
              <w:pStyle w:val="Infotext"/>
            </w:pPr>
          </w:p>
        </w:tc>
        <w:tc>
          <w:tcPr>
            <w:tcW w:w="2469" w:type="pct"/>
            <w:tcBorders>
              <w:left w:val="nil"/>
            </w:tcBorders>
          </w:tcPr>
          <w:p w:rsidR="00ED16C0" w:rsidRDefault="00ED16C0" w:rsidP="00AD3194">
            <w:pPr>
              <w:pStyle w:val="Infotext"/>
            </w:pPr>
          </w:p>
          <w:p w:rsidR="00ED16C0" w:rsidRDefault="00ED16C0" w:rsidP="00AD3194">
            <w:pPr>
              <w:pStyle w:val="Infotext"/>
            </w:pPr>
            <w:r w:rsidRPr="003D78F6">
              <w:rPr>
                <w:b/>
              </w:rPr>
              <w:t>YES</w:t>
            </w:r>
          </w:p>
          <w:p w:rsidR="00ED16C0" w:rsidRDefault="00ED16C0" w:rsidP="00AD3194">
            <w:pPr>
              <w:pStyle w:val="Infotext"/>
            </w:pPr>
          </w:p>
          <w:p w:rsidR="00ED16C0" w:rsidRDefault="0086701E" w:rsidP="0086701E">
            <w:pPr>
              <w:autoSpaceDE w:val="0"/>
              <w:autoSpaceDN w:val="0"/>
              <w:adjustRightInd w:val="0"/>
              <w:spacing w:before="100" w:after="100"/>
            </w:pPr>
            <w:r w:rsidRPr="0086701E">
              <w:rPr>
                <w:rFonts w:cs="Arial"/>
                <w:szCs w:val="24"/>
                <w:lang w:eastAsia="en-GB"/>
              </w:rPr>
              <w:t>The decision is urgent and cannot wait until the scheduled meeting of Cabinet on 21 May as this would delay the allocation of payments to Harrow’s care providers who are supporting the most vulnerable residents. Allocation of the funding as soon as possible will also support the NHS in terms of hospital discharges and their response to COVID 19 crisis.</w:t>
            </w:r>
          </w:p>
          <w:p w:rsidR="00ED16C0" w:rsidRPr="00E65A02" w:rsidRDefault="00ED16C0" w:rsidP="004F3D5D">
            <w:pPr>
              <w:pStyle w:val="Infotext"/>
              <w:ind w:left="173"/>
              <w:rPr>
                <w:i/>
                <w:sz w:val="24"/>
                <w:szCs w:val="24"/>
              </w:rPr>
            </w:pPr>
          </w:p>
        </w:tc>
      </w:tr>
    </w:tbl>
    <w:p w:rsidR="009404BD" w:rsidRPr="00A727A5" w:rsidRDefault="009404BD" w:rsidP="009404BD">
      <w:pPr>
        <w:rPr>
          <w:rFonts w:cs="Arial"/>
          <w:sz w:val="22"/>
          <w:szCs w:val="22"/>
        </w:rPr>
      </w:pPr>
    </w:p>
    <w:sectPr w:rsidR="009404BD" w:rsidRPr="00A727A5" w:rsidSect="00596DDC">
      <w:headerReference w:type="default" r:id="rId11"/>
      <w:footerReference w:type="default" r:id="rId12"/>
      <w:type w:val="continuous"/>
      <w:pgSz w:w="11909" w:h="16834" w:code="9"/>
      <w:pgMar w:top="864" w:right="1800" w:bottom="1440" w:left="1800" w:header="1008"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4052" w:rsidRDefault="001D4052">
      <w:r>
        <w:separator/>
      </w:r>
    </w:p>
  </w:endnote>
  <w:endnote w:type="continuationSeparator" w:id="0">
    <w:p w:rsidR="001D4052" w:rsidRDefault="001D40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
    <w:altName w:val="Arial Unicode MS"/>
    <w:panose1 w:val="00000000000000000000"/>
    <w:charset w:val="80"/>
    <w:family w:val="auto"/>
    <w:notTrueType/>
    <w:pitch w:val="variable"/>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1410" w:rsidRDefault="00391410" w:rsidP="00D4290D">
    <w:pPr>
      <w:pStyle w:val="Footer"/>
      <w:framePr w:wrap="around" w:vAnchor="text" w:hAnchor="margin" w:xAlign="right" w:y="1"/>
      <w:rPr>
        <w:rStyle w:val="PageNumber"/>
      </w:rPr>
    </w:pPr>
  </w:p>
  <w:p w:rsidR="00391410" w:rsidRDefault="00391410" w:rsidP="00A1507D">
    <w:pPr>
      <w:pStyle w:val="Footer"/>
      <w:tabs>
        <w:tab w:val="clear" w:pos="4153"/>
        <w:tab w:val="clear" w:pos="8306"/>
      </w:tabs>
      <w:ind w:right="360"/>
      <w:jc w:val="right"/>
      <w:rPr>
        <w:rFonts w:cs="Arial"/>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507D" w:rsidRDefault="00A1507D" w:rsidP="00A1507D">
    <w:pPr>
      <w:pStyle w:val="Footer"/>
      <w:jc w:val="right"/>
    </w:pPr>
    <w:r>
      <w:rPr>
        <w:rStyle w:val="PageNumber"/>
      </w:rPr>
      <w:fldChar w:fldCharType="begin"/>
    </w:r>
    <w:r>
      <w:rPr>
        <w:rStyle w:val="PageNumber"/>
      </w:rPr>
      <w:instrText xml:space="preserve">PAGE  </w:instrText>
    </w:r>
    <w:r>
      <w:rPr>
        <w:rStyle w:val="PageNumber"/>
      </w:rPr>
      <w:fldChar w:fldCharType="separate"/>
    </w:r>
    <w:r w:rsidR="00143499">
      <w:rPr>
        <w:rStyle w:val="PageNumber"/>
        <w:noProof/>
      </w:rPr>
      <w:t>1</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1410" w:rsidRDefault="00391410" w:rsidP="00D4290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43499">
      <w:rPr>
        <w:rStyle w:val="PageNumber"/>
        <w:noProof/>
      </w:rPr>
      <w:t>10</w:t>
    </w:r>
    <w:r>
      <w:rPr>
        <w:rStyle w:val="PageNumber"/>
      </w:rPr>
      <w:fldChar w:fldCharType="end"/>
    </w:r>
  </w:p>
  <w:p w:rsidR="00391410" w:rsidRDefault="00391410" w:rsidP="00A1507D">
    <w:pPr>
      <w:pStyle w:val="Footer"/>
      <w:tabs>
        <w:tab w:val="clear" w:pos="4153"/>
        <w:tab w:val="clear" w:pos="8306"/>
      </w:tabs>
      <w:ind w:right="360"/>
      <w:rPr>
        <w:rFonts w:cs="Arial"/>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4052" w:rsidRDefault="001D4052">
      <w:r>
        <w:separator/>
      </w:r>
    </w:p>
  </w:footnote>
  <w:footnote w:type="continuationSeparator" w:id="0">
    <w:p w:rsidR="001D4052" w:rsidRDefault="001D40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1410" w:rsidRDefault="0039141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77F52"/>
    <w:multiLevelType w:val="hybridMultilevel"/>
    <w:tmpl w:val="7F72C69C"/>
    <w:lvl w:ilvl="0" w:tplc="D73C90C0">
      <w:start w:val="1"/>
      <w:numFmt w:val="bullet"/>
      <w:lvlText w:val=""/>
      <w:lvlJc w:val="left"/>
      <w:pPr>
        <w:ind w:left="720" w:hanging="72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nsid w:val="02536327"/>
    <w:multiLevelType w:val="hybridMultilevel"/>
    <w:tmpl w:val="4F4A3AEA"/>
    <w:lvl w:ilvl="0" w:tplc="0809001B">
      <w:start w:val="1"/>
      <w:numFmt w:val="lowerRoman"/>
      <w:lvlText w:val="%1."/>
      <w:lvlJc w:val="righ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
    <w:nsid w:val="02651DDF"/>
    <w:multiLevelType w:val="hybridMultilevel"/>
    <w:tmpl w:val="60AC2D2E"/>
    <w:lvl w:ilvl="0" w:tplc="F8187620">
      <w:start w:val="1"/>
      <w:numFmt w:val="bullet"/>
      <w:lvlText w:val=""/>
      <w:lvlJc w:val="left"/>
      <w:pPr>
        <w:tabs>
          <w:tab w:val="num" w:pos="720"/>
        </w:tabs>
        <w:ind w:left="720" w:hanging="72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02AB165F"/>
    <w:multiLevelType w:val="hybridMultilevel"/>
    <w:tmpl w:val="DB40A302"/>
    <w:lvl w:ilvl="0" w:tplc="04090001">
      <w:start w:val="1"/>
      <w:numFmt w:val="bullet"/>
      <w:lvlText w:val=""/>
      <w:lvlJc w:val="left"/>
      <w:pPr>
        <w:tabs>
          <w:tab w:val="num" w:pos="720"/>
        </w:tabs>
        <w:ind w:left="720" w:hanging="360"/>
      </w:pPr>
      <w:rPr>
        <w:rFonts w:ascii="Symbol" w:hAnsi="Symbol" w:hint="default"/>
      </w:rPr>
    </w:lvl>
    <w:lvl w:ilvl="1" w:tplc="CCA20D82">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6760527"/>
    <w:multiLevelType w:val="hybridMultilevel"/>
    <w:tmpl w:val="B7DAA8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7AA396D"/>
    <w:multiLevelType w:val="hybridMultilevel"/>
    <w:tmpl w:val="98DEFD50"/>
    <w:lvl w:ilvl="0" w:tplc="0809000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0BA01BFE"/>
    <w:multiLevelType w:val="hybridMultilevel"/>
    <w:tmpl w:val="43A8E004"/>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E256357"/>
    <w:multiLevelType w:val="multilevel"/>
    <w:tmpl w:val="884418E6"/>
    <w:lvl w:ilvl="0">
      <w:start w:val="1"/>
      <w:numFmt w:val="bullet"/>
      <w:lvlText w:val="-"/>
      <w:lvlJc w:val="left"/>
      <w:pPr>
        <w:tabs>
          <w:tab w:val="num" w:pos="1080"/>
        </w:tabs>
        <w:ind w:left="1080" w:hanging="360"/>
      </w:pPr>
      <w:rPr>
        <w:rFonts w:ascii="Arial" w:hAnsi="Arial" w:hint="default"/>
        <w:sz w:val="20"/>
      </w:rPr>
    </w:lvl>
    <w:lvl w:ilvl="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8">
    <w:nsid w:val="12E45D48"/>
    <w:multiLevelType w:val="hybridMultilevel"/>
    <w:tmpl w:val="B2CA8E74"/>
    <w:lvl w:ilvl="0" w:tplc="365A6E94">
      <w:start w:val="1"/>
      <w:numFmt w:val="decimal"/>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6CD7165"/>
    <w:multiLevelType w:val="hybridMultilevel"/>
    <w:tmpl w:val="B37E7CEA"/>
    <w:lvl w:ilvl="0" w:tplc="29203C72">
      <w:start w:val="1"/>
      <w:numFmt w:val="lowerLetter"/>
      <w:lvlText w:val="%1."/>
      <w:lvlJc w:val="left"/>
      <w:pPr>
        <w:tabs>
          <w:tab w:val="num" w:pos="720"/>
        </w:tabs>
        <w:ind w:left="720" w:hanging="720"/>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nsid w:val="1B8B49A3"/>
    <w:multiLevelType w:val="hybridMultilevel"/>
    <w:tmpl w:val="32CE8D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D9D462A"/>
    <w:multiLevelType w:val="hybridMultilevel"/>
    <w:tmpl w:val="FE0E0F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0BA3D06"/>
    <w:multiLevelType w:val="hybridMultilevel"/>
    <w:tmpl w:val="B7502E88"/>
    <w:lvl w:ilvl="0" w:tplc="08090001">
      <w:start w:val="1"/>
      <w:numFmt w:val="bullet"/>
      <w:lvlText w:val=""/>
      <w:lvlJc w:val="left"/>
      <w:pPr>
        <w:tabs>
          <w:tab w:val="num" w:pos="1080"/>
        </w:tabs>
        <w:ind w:left="1080" w:hanging="360"/>
      </w:pPr>
      <w:rPr>
        <w:rFonts w:ascii="Symbol" w:hAnsi="Symbol" w:hint="default"/>
      </w:rPr>
    </w:lvl>
    <w:lvl w:ilvl="1" w:tplc="A52E50A8">
      <w:start w:val="1"/>
      <w:numFmt w:val="bullet"/>
      <w:lvlText w:val=""/>
      <w:lvlJc w:val="left"/>
      <w:pPr>
        <w:tabs>
          <w:tab w:val="num" w:pos="-31680"/>
        </w:tabs>
        <w:ind w:left="720" w:hanging="720"/>
      </w:pPr>
      <w:rPr>
        <w:rFonts w:ascii="Symbol" w:hAnsi="Symbol"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3">
    <w:nsid w:val="228E6865"/>
    <w:multiLevelType w:val="hybridMultilevel"/>
    <w:tmpl w:val="7BAA97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365041E"/>
    <w:multiLevelType w:val="hybridMultilevel"/>
    <w:tmpl w:val="4E765E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8BD22AF"/>
    <w:multiLevelType w:val="hybridMultilevel"/>
    <w:tmpl w:val="BD389F1C"/>
    <w:lvl w:ilvl="0" w:tplc="1DAEDB42">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99B5A02"/>
    <w:multiLevelType w:val="hybridMultilevel"/>
    <w:tmpl w:val="8B526854"/>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B591E4C"/>
    <w:multiLevelType w:val="hybridMultilevel"/>
    <w:tmpl w:val="15D00DEC"/>
    <w:lvl w:ilvl="0" w:tplc="3EEA1D32">
      <w:numFmt w:val="bullet"/>
      <w:lvlText w:val=""/>
      <w:lvlJc w:val="left"/>
      <w:pPr>
        <w:tabs>
          <w:tab w:val="num" w:pos="-31680"/>
        </w:tabs>
        <w:ind w:left="720" w:hanging="72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15666A0"/>
    <w:multiLevelType w:val="hybridMultilevel"/>
    <w:tmpl w:val="B0F2CDCC"/>
    <w:lvl w:ilvl="0" w:tplc="04090001">
      <w:start w:val="1"/>
      <w:numFmt w:val="bullet"/>
      <w:lvlText w:val=""/>
      <w:lvlJc w:val="left"/>
      <w:pPr>
        <w:tabs>
          <w:tab w:val="num" w:pos="720"/>
        </w:tabs>
        <w:ind w:left="720" w:hanging="360"/>
      </w:pPr>
      <w:rPr>
        <w:rFonts w:ascii="Symbol" w:hAnsi="Symbol" w:hint="default"/>
      </w:rPr>
    </w:lvl>
    <w:lvl w:ilvl="1" w:tplc="04322C90">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2855901"/>
    <w:multiLevelType w:val="hybridMultilevel"/>
    <w:tmpl w:val="A9EAEC16"/>
    <w:lvl w:ilvl="0" w:tplc="A2449B4C">
      <w:start w:val="1"/>
      <w:numFmt w:val="decimal"/>
      <w:lvlText w:val="%1."/>
      <w:lvlJc w:val="left"/>
      <w:pPr>
        <w:tabs>
          <w:tab w:val="num" w:pos="-3168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36848A1"/>
    <w:multiLevelType w:val="hybridMultilevel"/>
    <w:tmpl w:val="0CB83962"/>
    <w:lvl w:ilvl="0" w:tplc="70607A78">
      <w:start w:val="1"/>
      <w:numFmt w:val="bullet"/>
      <w:lvlText w:val=""/>
      <w:lvlJc w:val="left"/>
      <w:pPr>
        <w:tabs>
          <w:tab w:val="num" w:pos="720"/>
        </w:tabs>
        <w:ind w:left="720" w:hanging="72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33DC3909"/>
    <w:multiLevelType w:val="hybridMultilevel"/>
    <w:tmpl w:val="A9162E52"/>
    <w:lvl w:ilvl="0" w:tplc="113ECF84">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9331822"/>
    <w:multiLevelType w:val="hybridMultilevel"/>
    <w:tmpl w:val="79A88FC6"/>
    <w:lvl w:ilvl="0" w:tplc="B8FABE76">
      <w:start w:val="1"/>
      <w:numFmt w:val="decimal"/>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39860B04"/>
    <w:multiLevelType w:val="hybridMultilevel"/>
    <w:tmpl w:val="B38C9104"/>
    <w:lvl w:ilvl="0" w:tplc="0809000F">
      <w:start w:val="1"/>
      <w:numFmt w:val="decimal"/>
      <w:lvlText w:val="%1."/>
      <w:lvlJc w:val="left"/>
      <w:pPr>
        <w:tabs>
          <w:tab w:val="num" w:pos="720"/>
        </w:tabs>
        <w:ind w:left="720" w:hanging="360"/>
      </w:pPr>
      <w:rPr>
        <w:rFonts w:hint="default"/>
      </w:rPr>
    </w:lvl>
    <w:lvl w:ilvl="1" w:tplc="60422DA0">
      <w:start w:val="1"/>
      <w:numFmt w:val="bullet"/>
      <w:lvlText w:val=""/>
      <w:lvlJc w:val="left"/>
      <w:pPr>
        <w:tabs>
          <w:tab w:val="num" w:pos="-31680"/>
        </w:tabs>
        <w:ind w:left="1440" w:hanging="72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nsid w:val="3A9639D4"/>
    <w:multiLevelType w:val="hybridMultilevel"/>
    <w:tmpl w:val="750EF9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3E7436A3"/>
    <w:multiLevelType w:val="hybridMultilevel"/>
    <w:tmpl w:val="9612C4A0"/>
    <w:lvl w:ilvl="0" w:tplc="61BA837E">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3ED0745B"/>
    <w:multiLevelType w:val="hybridMultilevel"/>
    <w:tmpl w:val="551442B2"/>
    <w:lvl w:ilvl="0" w:tplc="08090001">
      <w:start w:val="1"/>
      <w:numFmt w:val="bullet"/>
      <w:lvlText w:val=""/>
      <w:lvlJc w:val="left"/>
      <w:pPr>
        <w:ind w:left="780" w:hanging="360"/>
      </w:pPr>
      <w:rPr>
        <w:rFonts w:ascii="Symbol" w:hAnsi="Symbol" w:hint="default"/>
        <w:color w:val="auto"/>
      </w:rPr>
    </w:lvl>
    <w:lvl w:ilvl="1" w:tplc="08090019" w:tentative="1">
      <w:start w:val="1"/>
      <w:numFmt w:val="lowerLetter"/>
      <w:lvlText w:val="%2."/>
      <w:lvlJc w:val="left"/>
      <w:pPr>
        <w:tabs>
          <w:tab w:val="num" w:pos="1500"/>
        </w:tabs>
        <w:ind w:left="1500" w:hanging="360"/>
      </w:pPr>
    </w:lvl>
    <w:lvl w:ilvl="2" w:tplc="0809001B" w:tentative="1">
      <w:start w:val="1"/>
      <w:numFmt w:val="lowerRoman"/>
      <w:lvlText w:val="%3."/>
      <w:lvlJc w:val="right"/>
      <w:pPr>
        <w:tabs>
          <w:tab w:val="num" w:pos="2220"/>
        </w:tabs>
        <w:ind w:left="2220" w:hanging="180"/>
      </w:pPr>
    </w:lvl>
    <w:lvl w:ilvl="3" w:tplc="0809000F" w:tentative="1">
      <w:start w:val="1"/>
      <w:numFmt w:val="decimal"/>
      <w:lvlText w:val="%4."/>
      <w:lvlJc w:val="left"/>
      <w:pPr>
        <w:tabs>
          <w:tab w:val="num" w:pos="2940"/>
        </w:tabs>
        <w:ind w:left="2940" w:hanging="360"/>
      </w:pPr>
    </w:lvl>
    <w:lvl w:ilvl="4" w:tplc="08090019" w:tentative="1">
      <w:start w:val="1"/>
      <w:numFmt w:val="lowerLetter"/>
      <w:lvlText w:val="%5."/>
      <w:lvlJc w:val="left"/>
      <w:pPr>
        <w:tabs>
          <w:tab w:val="num" w:pos="3660"/>
        </w:tabs>
        <w:ind w:left="3660" w:hanging="360"/>
      </w:pPr>
    </w:lvl>
    <w:lvl w:ilvl="5" w:tplc="0809001B" w:tentative="1">
      <w:start w:val="1"/>
      <w:numFmt w:val="lowerRoman"/>
      <w:lvlText w:val="%6."/>
      <w:lvlJc w:val="right"/>
      <w:pPr>
        <w:tabs>
          <w:tab w:val="num" w:pos="4380"/>
        </w:tabs>
        <w:ind w:left="4380" w:hanging="180"/>
      </w:pPr>
    </w:lvl>
    <w:lvl w:ilvl="6" w:tplc="0809000F" w:tentative="1">
      <w:start w:val="1"/>
      <w:numFmt w:val="decimal"/>
      <w:lvlText w:val="%7."/>
      <w:lvlJc w:val="left"/>
      <w:pPr>
        <w:tabs>
          <w:tab w:val="num" w:pos="5100"/>
        </w:tabs>
        <w:ind w:left="5100" w:hanging="360"/>
      </w:pPr>
    </w:lvl>
    <w:lvl w:ilvl="7" w:tplc="08090019" w:tentative="1">
      <w:start w:val="1"/>
      <w:numFmt w:val="lowerLetter"/>
      <w:lvlText w:val="%8."/>
      <w:lvlJc w:val="left"/>
      <w:pPr>
        <w:tabs>
          <w:tab w:val="num" w:pos="5820"/>
        </w:tabs>
        <w:ind w:left="5820" w:hanging="360"/>
      </w:pPr>
    </w:lvl>
    <w:lvl w:ilvl="8" w:tplc="0809001B" w:tentative="1">
      <w:start w:val="1"/>
      <w:numFmt w:val="lowerRoman"/>
      <w:lvlText w:val="%9."/>
      <w:lvlJc w:val="right"/>
      <w:pPr>
        <w:tabs>
          <w:tab w:val="num" w:pos="6540"/>
        </w:tabs>
        <w:ind w:left="6540" w:hanging="180"/>
      </w:pPr>
    </w:lvl>
  </w:abstractNum>
  <w:abstractNum w:abstractNumId="27">
    <w:nsid w:val="4086076C"/>
    <w:multiLevelType w:val="hybridMultilevel"/>
    <w:tmpl w:val="CD724460"/>
    <w:lvl w:ilvl="0" w:tplc="04090001">
      <w:start w:val="1"/>
      <w:numFmt w:val="bullet"/>
      <w:lvlText w:val=""/>
      <w:lvlJc w:val="left"/>
      <w:pPr>
        <w:tabs>
          <w:tab w:val="num" w:pos="720"/>
        </w:tabs>
        <w:ind w:left="720" w:hanging="360"/>
      </w:pPr>
      <w:rPr>
        <w:rFonts w:ascii="Symbol" w:hAnsi="Symbol" w:hint="default"/>
      </w:rPr>
    </w:lvl>
    <w:lvl w:ilvl="1" w:tplc="09123418">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409D1589"/>
    <w:multiLevelType w:val="hybridMultilevel"/>
    <w:tmpl w:val="D688C8DE"/>
    <w:lvl w:ilvl="0" w:tplc="04090001">
      <w:start w:val="1"/>
      <w:numFmt w:val="bullet"/>
      <w:lvlText w:val=""/>
      <w:lvlJc w:val="left"/>
      <w:pPr>
        <w:tabs>
          <w:tab w:val="num" w:pos="720"/>
        </w:tabs>
        <w:ind w:left="720" w:hanging="360"/>
      </w:pPr>
      <w:rPr>
        <w:rFonts w:ascii="Symbol" w:hAnsi="Symbol" w:hint="default"/>
      </w:rPr>
    </w:lvl>
    <w:lvl w:ilvl="1" w:tplc="5C9A0866">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4215544A"/>
    <w:multiLevelType w:val="hybridMultilevel"/>
    <w:tmpl w:val="DFA42D32"/>
    <w:lvl w:ilvl="0" w:tplc="08090001">
      <w:start w:val="1"/>
      <w:numFmt w:val="bullet"/>
      <w:lvlText w:val=""/>
      <w:lvlJc w:val="left"/>
      <w:pPr>
        <w:tabs>
          <w:tab w:val="num" w:pos="1080"/>
        </w:tabs>
        <w:ind w:left="1080" w:hanging="360"/>
      </w:pPr>
      <w:rPr>
        <w:rFonts w:ascii="Symbol" w:hAnsi="Symbol" w:hint="default"/>
      </w:rPr>
    </w:lvl>
    <w:lvl w:ilvl="1" w:tplc="B5A8A74A">
      <w:start w:val="1"/>
      <w:numFmt w:val="bullet"/>
      <w:lvlText w:val=""/>
      <w:lvlJc w:val="left"/>
      <w:pPr>
        <w:tabs>
          <w:tab w:val="num" w:pos="-31680"/>
        </w:tabs>
        <w:ind w:left="720" w:hanging="720"/>
      </w:pPr>
      <w:rPr>
        <w:rFonts w:ascii="Symbol" w:hAnsi="Symbol"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0">
    <w:nsid w:val="45FD5009"/>
    <w:multiLevelType w:val="hybridMultilevel"/>
    <w:tmpl w:val="4AE472E2"/>
    <w:lvl w:ilvl="0" w:tplc="53AA2584">
      <w:start w:val="1"/>
      <w:numFmt w:val="bullet"/>
      <w:lvlText w:val=""/>
      <w:lvlJc w:val="left"/>
      <w:pPr>
        <w:tabs>
          <w:tab w:val="num" w:pos="360"/>
        </w:tabs>
        <w:ind w:left="360" w:hanging="360"/>
      </w:pPr>
      <w:rPr>
        <w:rFonts w:ascii="Wingdings" w:hAnsi="Wingdings" w:hint="default"/>
        <w:color w:val="3E007A"/>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4C4C3F7B"/>
    <w:multiLevelType w:val="hybridMultilevel"/>
    <w:tmpl w:val="197C0B90"/>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4E5961D3"/>
    <w:multiLevelType w:val="hybridMultilevel"/>
    <w:tmpl w:val="40324012"/>
    <w:lvl w:ilvl="0" w:tplc="0809001B">
      <w:start w:val="1"/>
      <w:numFmt w:val="low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503D7533"/>
    <w:multiLevelType w:val="hybridMultilevel"/>
    <w:tmpl w:val="903496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nsid w:val="52EC6D2E"/>
    <w:multiLevelType w:val="hybridMultilevel"/>
    <w:tmpl w:val="B5AC3D28"/>
    <w:lvl w:ilvl="0" w:tplc="FB745912">
      <w:start w:val="1"/>
      <w:numFmt w:val="bullet"/>
      <w:lvlText w:val=""/>
      <w:lvlJc w:val="left"/>
      <w:pPr>
        <w:tabs>
          <w:tab w:val="num" w:pos="-31680"/>
        </w:tabs>
        <w:ind w:left="720" w:hanging="72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5">
    <w:nsid w:val="553170DE"/>
    <w:multiLevelType w:val="hybridMultilevel"/>
    <w:tmpl w:val="A800A568"/>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57797913"/>
    <w:multiLevelType w:val="hybridMultilevel"/>
    <w:tmpl w:val="243425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5C172940"/>
    <w:multiLevelType w:val="hybridMultilevel"/>
    <w:tmpl w:val="598CC1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5D87417B"/>
    <w:multiLevelType w:val="hybridMultilevel"/>
    <w:tmpl w:val="C1660A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60A5676D"/>
    <w:multiLevelType w:val="hybridMultilevel"/>
    <w:tmpl w:val="0F7EA04C"/>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6233107A"/>
    <w:multiLevelType w:val="hybridMultilevel"/>
    <w:tmpl w:val="795AE8CC"/>
    <w:lvl w:ilvl="0" w:tplc="0809000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65DF6408"/>
    <w:multiLevelType w:val="hybridMultilevel"/>
    <w:tmpl w:val="C9DE01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67295A30"/>
    <w:multiLevelType w:val="hybridMultilevel"/>
    <w:tmpl w:val="6B481482"/>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nsid w:val="67920F61"/>
    <w:multiLevelType w:val="hybridMultilevel"/>
    <w:tmpl w:val="75362D52"/>
    <w:lvl w:ilvl="0" w:tplc="04090001">
      <w:start w:val="1"/>
      <w:numFmt w:val="bullet"/>
      <w:lvlText w:val=""/>
      <w:lvlJc w:val="left"/>
      <w:pPr>
        <w:tabs>
          <w:tab w:val="num" w:pos="720"/>
        </w:tabs>
        <w:ind w:left="720" w:hanging="360"/>
      </w:pPr>
      <w:rPr>
        <w:rFonts w:ascii="Symbol" w:hAnsi="Symbol" w:hint="default"/>
      </w:rPr>
    </w:lvl>
    <w:lvl w:ilvl="1" w:tplc="6C1270D0">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68A95E59"/>
    <w:multiLevelType w:val="hybridMultilevel"/>
    <w:tmpl w:val="B0B22AD2"/>
    <w:lvl w:ilvl="0" w:tplc="39F03D06">
      <w:start w:val="1"/>
      <w:numFmt w:val="bullet"/>
      <w:lvlText w:val=""/>
      <w:lvlJc w:val="left"/>
      <w:pPr>
        <w:tabs>
          <w:tab w:val="num" w:pos="-31680"/>
        </w:tabs>
        <w:ind w:left="720" w:hanging="72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45">
    <w:nsid w:val="6CEC74E2"/>
    <w:multiLevelType w:val="hybridMultilevel"/>
    <w:tmpl w:val="BE44C5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6FE91874"/>
    <w:multiLevelType w:val="hybridMultilevel"/>
    <w:tmpl w:val="972CF8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73AC4EDA"/>
    <w:multiLevelType w:val="hybridMultilevel"/>
    <w:tmpl w:val="8012D90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nsid w:val="756911F4"/>
    <w:multiLevelType w:val="hybridMultilevel"/>
    <w:tmpl w:val="C7EC1B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nsid w:val="794D46F1"/>
    <w:multiLevelType w:val="hybridMultilevel"/>
    <w:tmpl w:val="91A045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nsid w:val="7D533014"/>
    <w:multiLevelType w:val="hybridMultilevel"/>
    <w:tmpl w:val="66622AC6"/>
    <w:lvl w:ilvl="0" w:tplc="04090001">
      <w:start w:val="1"/>
      <w:numFmt w:val="bullet"/>
      <w:lvlText w:val=""/>
      <w:lvlJc w:val="left"/>
      <w:pPr>
        <w:tabs>
          <w:tab w:val="num" w:pos="720"/>
        </w:tabs>
        <w:ind w:left="720" w:hanging="360"/>
      </w:pPr>
      <w:rPr>
        <w:rFonts w:ascii="Symbol" w:hAnsi="Symbol" w:hint="default"/>
      </w:rPr>
    </w:lvl>
    <w:lvl w:ilvl="1" w:tplc="C5526EF2">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nsid w:val="7D707DB5"/>
    <w:multiLevelType w:val="hybridMultilevel"/>
    <w:tmpl w:val="DC30D536"/>
    <w:lvl w:ilvl="0" w:tplc="E5BA9022">
      <w:start w:val="1"/>
      <w:numFmt w:val="bullet"/>
      <w:lvlText w:val=""/>
      <w:lvlJc w:val="left"/>
      <w:pPr>
        <w:ind w:left="720" w:hanging="72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2">
    <w:nsid w:val="7ECF2AEE"/>
    <w:multiLevelType w:val="hybridMultilevel"/>
    <w:tmpl w:val="46906B5C"/>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23"/>
  </w:num>
  <w:num w:numId="3">
    <w:abstractNumId w:val="29"/>
  </w:num>
  <w:num w:numId="4">
    <w:abstractNumId w:val="12"/>
  </w:num>
  <w:num w:numId="5">
    <w:abstractNumId w:val="15"/>
  </w:num>
  <w:num w:numId="6">
    <w:abstractNumId w:val="25"/>
  </w:num>
  <w:num w:numId="7">
    <w:abstractNumId w:val="44"/>
  </w:num>
  <w:num w:numId="8">
    <w:abstractNumId w:val="17"/>
  </w:num>
  <w:num w:numId="9">
    <w:abstractNumId w:val="50"/>
  </w:num>
  <w:num w:numId="10">
    <w:abstractNumId w:val="43"/>
  </w:num>
  <w:num w:numId="11">
    <w:abstractNumId w:val="18"/>
  </w:num>
  <w:num w:numId="12">
    <w:abstractNumId w:val="3"/>
  </w:num>
  <w:num w:numId="13">
    <w:abstractNumId w:val="27"/>
  </w:num>
  <w:num w:numId="14">
    <w:abstractNumId w:val="28"/>
  </w:num>
  <w:num w:numId="15">
    <w:abstractNumId w:val="47"/>
  </w:num>
  <w:num w:numId="1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num>
  <w:num w:numId="18">
    <w:abstractNumId w:val="26"/>
  </w:num>
  <w:num w:numId="19">
    <w:abstractNumId w:val="2"/>
  </w:num>
  <w:num w:numId="20">
    <w:abstractNumId w:val="34"/>
  </w:num>
  <w:num w:numId="21">
    <w:abstractNumId w:val="20"/>
  </w:num>
  <w:num w:numId="22">
    <w:abstractNumId w:val="9"/>
  </w:num>
  <w:num w:numId="23">
    <w:abstractNumId w:val="37"/>
  </w:num>
  <w:num w:numId="24">
    <w:abstractNumId w:val="30"/>
  </w:num>
  <w:num w:numId="25">
    <w:abstractNumId w:val="33"/>
  </w:num>
  <w:num w:numId="26">
    <w:abstractNumId w:val="7"/>
  </w:num>
  <w:num w:numId="27">
    <w:abstractNumId w:val="51"/>
  </w:num>
  <w:num w:numId="28">
    <w:abstractNumId w:val="8"/>
  </w:num>
  <w:num w:numId="29">
    <w:abstractNumId w:val="39"/>
  </w:num>
  <w:num w:numId="30">
    <w:abstractNumId w:val="52"/>
  </w:num>
  <w:num w:numId="31">
    <w:abstractNumId w:val="35"/>
  </w:num>
  <w:num w:numId="32">
    <w:abstractNumId w:val="6"/>
  </w:num>
  <w:num w:numId="33">
    <w:abstractNumId w:val="16"/>
  </w:num>
  <w:num w:numId="34">
    <w:abstractNumId w:val="0"/>
  </w:num>
  <w:num w:numId="35">
    <w:abstractNumId w:val="48"/>
  </w:num>
  <w:num w:numId="36">
    <w:abstractNumId w:val="22"/>
  </w:num>
  <w:num w:numId="37">
    <w:abstractNumId w:val="10"/>
  </w:num>
  <w:num w:numId="38">
    <w:abstractNumId w:val="11"/>
  </w:num>
  <w:num w:numId="39">
    <w:abstractNumId w:val="46"/>
  </w:num>
  <w:num w:numId="40">
    <w:abstractNumId w:val="45"/>
  </w:num>
  <w:num w:numId="41">
    <w:abstractNumId w:val="32"/>
  </w:num>
  <w:num w:numId="42">
    <w:abstractNumId w:val="14"/>
  </w:num>
  <w:num w:numId="43">
    <w:abstractNumId w:val="13"/>
  </w:num>
  <w:num w:numId="44">
    <w:abstractNumId w:val="38"/>
  </w:num>
  <w:num w:numId="45">
    <w:abstractNumId w:val="40"/>
  </w:num>
  <w:num w:numId="46">
    <w:abstractNumId w:val="41"/>
  </w:num>
  <w:num w:numId="47">
    <w:abstractNumId w:val="42"/>
  </w:num>
  <w:num w:numId="48">
    <w:abstractNumId w:val="1"/>
  </w:num>
  <w:num w:numId="49">
    <w:abstractNumId w:val="31"/>
  </w:num>
  <w:num w:numId="50">
    <w:abstractNumId w:val="4"/>
  </w:num>
  <w:num w:numId="51">
    <w:abstractNumId w:val="5"/>
  </w:num>
  <w:num w:numId="52">
    <w:abstractNumId w:val="49"/>
  </w:num>
  <w:num w:numId="53">
    <w:abstractNumId w:val="36"/>
  </w:num>
  <w:num w:numId="54">
    <w:abstractNumId w:val="24"/>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378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1F05"/>
    <w:rsid w:val="000177C5"/>
    <w:rsid w:val="00025896"/>
    <w:rsid w:val="0005350C"/>
    <w:rsid w:val="00065843"/>
    <w:rsid w:val="00066744"/>
    <w:rsid w:val="000717A8"/>
    <w:rsid w:val="00080FB3"/>
    <w:rsid w:val="00085B3D"/>
    <w:rsid w:val="00090D24"/>
    <w:rsid w:val="00093B96"/>
    <w:rsid w:val="000B2A9D"/>
    <w:rsid w:val="000B788F"/>
    <w:rsid w:val="00104658"/>
    <w:rsid w:val="00114AB9"/>
    <w:rsid w:val="00131D72"/>
    <w:rsid w:val="00143499"/>
    <w:rsid w:val="001602F4"/>
    <w:rsid w:val="00162154"/>
    <w:rsid w:val="001860D7"/>
    <w:rsid w:val="001A092D"/>
    <w:rsid w:val="001A47EC"/>
    <w:rsid w:val="001A4C51"/>
    <w:rsid w:val="001A7CC7"/>
    <w:rsid w:val="001C3899"/>
    <w:rsid w:val="001D4052"/>
    <w:rsid w:val="001E347C"/>
    <w:rsid w:val="00201018"/>
    <w:rsid w:val="002023B3"/>
    <w:rsid w:val="002268CA"/>
    <w:rsid w:val="00231F9D"/>
    <w:rsid w:val="0023646B"/>
    <w:rsid w:val="00271544"/>
    <w:rsid w:val="002A0D64"/>
    <w:rsid w:val="002A46A3"/>
    <w:rsid w:val="002D6239"/>
    <w:rsid w:val="002E3E31"/>
    <w:rsid w:val="002E4761"/>
    <w:rsid w:val="00314009"/>
    <w:rsid w:val="00321450"/>
    <w:rsid w:val="003251DB"/>
    <w:rsid w:val="003417D7"/>
    <w:rsid w:val="00345B33"/>
    <w:rsid w:val="0035409B"/>
    <w:rsid w:val="003607F0"/>
    <w:rsid w:val="00362E19"/>
    <w:rsid w:val="00391410"/>
    <w:rsid w:val="003F11D5"/>
    <w:rsid w:val="003F6F8A"/>
    <w:rsid w:val="00421D58"/>
    <w:rsid w:val="00462341"/>
    <w:rsid w:val="00464064"/>
    <w:rsid w:val="00473049"/>
    <w:rsid w:val="004761E2"/>
    <w:rsid w:val="00476E9F"/>
    <w:rsid w:val="004804F4"/>
    <w:rsid w:val="0049672B"/>
    <w:rsid w:val="00497526"/>
    <w:rsid w:val="004A772F"/>
    <w:rsid w:val="004C6A9A"/>
    <w:rsid w:val="004D585C"/>
    <w:rsid w:val="004F3D5D"/>
    <w:rsid w:val="005052B6"/>
    <w:rsid w:val="00526E5E"/>
    <w:rsid w:val="00540F2C"/>
    <w:rsid w:val="00571274"/>
    <w:rsid w:val="005734D4"/>
    <w:rsid w:val="0058705B"/>
    <w:rsid w:val="00596DDC"/>
    <w:rsid w:val="005C0165"/>
    <w:rsid w:val="005C0A44"/>
    <w:rsid w:val="005C7115"/>
    <w:rsid w:val="005F2432"/>
    <w:rsid w:val="0060182B"/>
    <w:rsid w:val="00623D27"/>
    <w:rsid w:val="00643B98"/>
    <w:rsid w:val="0068050E"/>
    <w:rsid w:val="0068726F"/>
    <w:rsid w:val="00693C50"/>
    <w:rsid w:val="006A3700"/>
    <w:rsid w:val="006A37B1"/>
    <w:rsid w:val="006C1B24"/>
    <w:rsid w:val="00713625"/>
    <w:rsid w:val="00724D96"/>
    <w:rsid w:val="00753772"/>
    <w:rsid w:val="007537BF"/>
    <w:rsid w:val="00760753"/>
    <w:rsid w:val="00777CC5"/>
    <w:rsid w:val="00780F4C"/>
    <w:rsid w:val="007D42FB"/>
    <w:rsid w:val="007E4732"/>
    <w:rsid w:val="007F794A"/>
    <w:rsid w:val="0084204B"/>
    <w:rsid w:val="0086701E"/>
    <w:rsid w:val="00883A94"/>
    <w:rsid w:val="008B2C80"/>
    <w:rsid w:val="008C1028"/>
    <w:rsid w:val="008D13EF"/>
    <w:rsid w:val="008D5604"/>
    <w:rsid w:val="008D74C4"/>
    <w:rsid w:val="008F43CF"/>
    <w:rsid w:val="00910765"/>
    <w:rsid w:val="0091239D"/>
    <w:rsid w:val="00914F31"/>
    <w:rsid w:val="0093063F"/>
    <w:rsid w:val="009404BD"/>
    <w:rsid w:val="00963CAB"/>
    <w:rsid w:val="00964EEC"/>
    <w:rsid w:val="009B160B"/>
    <w:rsid w:val="009D4FD6"/>
    <w:rsid w:val="009D5369"/>
    <w:rsid w:val="00A07911"/>
    <w:rsid w:val="00A12C2A"/>
    <w:rsid w:val="00A1507D"/>
    <w:rsid w:val="00A351E8"/>
    <w:rsid w:val="00A431CF"/>
    <w:rsid w:val="00A462C8"/>
    <w:rsid w:val="00A563F5"/>
    <w:rsid w:val="00A71F05"/>
    <w:rsid w:val="00A8716F"/>
    <w:rsid w:val="00A96842"/>
    <w:rsid w:val="00AA12C2"/>
    <w:rsid w:val="00AB06F3"/>
    <w:rsid w:val="00AC1211"/>
    <w:rsid w:val="00AC5B63"/>
    <w:rsid w:val="00AD3194"/>
    <w:rsid w:val="00AE209D"/>
    <w:rsid w:val="00AF481E"/>
    <w:rsid w:val="00AF72FE"/>
    <w:rsid w:val="00AF7577"/>
    <w:rsid w:val="00B428B1"/>
    <w:rsid w:val="00B44583"/>
    <w:rsid w:val="00B51108"/>
    <w:rsid w:val="00B5468C"/>
    <w:rsid w:val="00B8683A"/>
    <w:rsid w:val="00B91EC0"/>
    <w:rsid w:val="00B9613C"/>
    <w:rsid w:val="00BB0863"/>
    <w:rsid w:val="00BC4A67"/>
    <w:rsid w:val="00C00490"/>
    <w:rsid w:val="00C05AB5"/>
    <w:rsid w:val="00C06E8E"/>
    <w:rsid w:val="00C16FC8"/>
    <w:rsid w:val="00C35FE4"/>
    <w:rsid w:val="00C737C8"/>
    <w:rsid w:val="00C81F03"/>
    <w:rsid w:val="00C84140"/>
    <w:rsid w:val="00C900D2"/>
    <w:rsid w:val="00CA1D0F"/>
    <w:rsid w:val="00CA60F9"/>
    <w:rsid w:val="00CC5BE2"/>
    <w:rsid w:val="00CD15A0"/>
    <w:rsid w:val="00CD7F86"/>
    <w:rsid w:val="00CE20D2"/>
    <w:rsid w:val="00D12BFA"/>
    <w:rsid w:val="00D202AA"/>
    <w:rsid w:val="00D3348C"/>
    <w:rsid w:val="00D4290D"/>
    <w:rsid w:val="00DB15FB"/>
    <w:rsid w:val="00DC656D"/>
    <w:rsid w:val="00E12B18"/>
    <w:rsid w:val="00E436A9"/>
    <w:rsid w:val="00E53AC3"/>
    <w:rsid w:val="00E55DFD"/>
    <w:rsid w:val="00E64219"/>
    <w:rsid w:val="00E72894"/>
    <w:rsid w:val="00E81AA6"/>
    <w:rsid w:val="00E94950"/>
    <w:rsid w:val="00EA0FC2"/>
    <w:rsid w:val="00ED001B"/>
    <w:rsid w:val="00ED16C0"/>
    <w:rsid w:val="00ED6F36"/>
    <w:rsid w:val="00EF0626"/>
    <w:rsid w:val="00EF5D3F"/>
    <w:rsid w:val="00F05070"/>
    <w:rsid w:val="00F1059D"/>
    <w:rsid w:val="00F962DF"/>
    <w:rsid w:val="00FA1311"/>
    <w:rsid w:val="00FC6B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71F05"/>
    <w:rPr>
      <w:rFonts w:ascii="Arial" w:hAnsi="Arial"/>
      <w:sz w:val="24"/>
      <w:lang w:eastAsia="en-US"/>
    </w:rPr>
  </w:style>
  <w:style w:type="paragraph" w:styleId="Heading1">
    <w:name w:val="heading 1"/>
    <w:basedOn w:val="Heading2"/>
    <w:next w:val="Normal"/>
    <w:qFormat/>
    <w:rsid w:val="00A71F05"/>
    <w:pPr>
      <w:outlineLvl w:val="0"/>
    </w:pPr>
    <w:rPr>
      <w:rFonts w:ascii="Arial Black" w:hAnsi="Arial Black"/>
      <w:b w:val="0"/>
      <w:sz w:val="32"/>
    </w:rPr>
  </w:style>
  <w:style w:type="paragraph" w:styleId="Heading2">
    <w:name w:val="heading 2"/>
    <w:basedOn w:val="Normal"/>
    <w:next w:val="Normal"/>
    <w:qFormat/>
    <w:rsid w:val="00A71F05"/>
    <w:pPr>
      <w:outlineLvl w:val="1"/>
    </w:pPr>
    <w:rPr>
      <w:rFonts w:cs="Arial"/>
      <w:b/>
      <w:bCs/>
      <w:sz w:val="28"/>
      <w:szCs w:val="32"/>
    </w:rPr>
  </w:style>
  <w:style w:type="paragraph" w:styleId="Heading3">
    <w:name w:val="heading 3"/>
    <w:basedOn w:val="Normal"/>
    <w:next w:val="Normal"/>
    <w:qFormat/>
    <w:rsid w:val="00A71F05"/>
    <w:pPr>
      <w:ind w:left="720" w:hanging="720"/>
      <w:jc w:val="both"/>
      <w:outlineLvl w:val="2"/>
    </w:pPr>
    <w:rPr>
      <w:rFonts w:cs="Arial"/>
      <w:b/>
      <w:bCs/>
      <w:i/>
      <w:szCs w:val="28"/>
    </w:rPr>
  </w:style>
  <w:style w:type="paragraph" w:styleId="Heading4">
    <w:name w:val="heading 4"/>
    <w:basedOn w:val="Normal"/>
    <w:next w:val="Normal"/>
    <w:qFormat/>
    <w:rsid w:val="00A71F05"/>
    <w:pPr>
      <w:keepNext/>
      <w:outlineLvl w:val="3"/>
    </w:pPr>
    <w:rPr>
      <w:rFonts w:cs="Arial"/>
      <w:b/>
    </w:rPr>
  </w:style>
  <w:style w:type="paragraph" w:styleId="Heading8">
    <w:name w:val="heading 8"/>
    <w:basedOn w:val="Normal"/>
    <w:next w:val="Normal"/>
    <w:qFormat/>
    <w:rsid w:val="00A71F05"/>
    <w:pPr>
      <w:spacing w:before="240" w:after="60"/>
      <w:outlineLvl w:val="7"/>
    </w:pPr>
    <w:rPr>
      <w:rFonts w:ascii="Times New Roman" w:hAnsi="Times New Roman"/>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A71F05"/>
    <w:pPr>
      <w:tabs>
        <w:tab w:val="center" w:pos="4153"/>
        <w:tab w:val="right" w:pos="8306"/>
      </w:tabs>
    </w:pPr>
    <w:rPr>
      <w:szCs w:val="24"/>
      <w:lang w:val="en-US"/>
    </w:rPr>
  </w:style>
  <w:style w:type="paragraph" w:customStyle="1" w:styleId="Infotext">
    <w:name w:val="Info text"/>
    <w:basedOn w:val="Normal"/>
    <w:rsid w:val="00A71F05"/>
    <w:rPr>
      <w:sz w:val="28"/>
    </w:rPr>
  </w:style>
  <w:style w:type="character" w:styleId="FootnoteReference">
    <w:name w:val="footnote reference"/>
    <w:semiHidden/>
    <w:rsid w:val="00A71F05"/>
    <w:rPr>
      <w:vertAlign w:val="superscript"/>
    </w:rPr>
  </w:style>
  <w:style w:type="paragraph" w:customStyle="1" w:styleId="CharCharCharCharCharCharCharChar">
    <w:name w:val="Char Char Char Char Char Char Char Char"/>
    <w:basedOn w:val="Normal"/>
    <w:rsid w:val="00A71F05"/>
    <w:pPr>
      <w:spacing w:after="160" w:line="240" w:lineRule="exact"/>
    </w:pPr>
    <w:rPr>
      <w:rFonts w:ascii="Tahoma" w:hAnsi="Tahoma"/>
      <w:sz w:val="20"/>
      <w:lang w:eastAsia="en-GB"/>
    </w:rPr>
  </w:style>
  <w:style w:type="character" w:styleId="Hyperlink">
    <w:name w:val="Hyperlink"/>
    <w:rsid w:val="00A71F05"/>
    <w:rPr>
      <w:color w:val="0000FF"/>
      <w:u w:val="single"/>
    </w:rPr>
  </w:style>
  <w:style w:type="character" w:styleId="PageNumber">
    <w:name w:val="page number"/>
    <w:basedOn w:val="DefaultParagraphFont"/>
    <w:rsid w:val="00A71F05"/>
  </w:style>
  <w:style w:type="paragraph" w:styleId="Header">
    <w:name w:val="header"/>
    <w:basedOn w:val="Normal"/>
    <w:rsid w:val="001A47EC"/>
    <w:pPr>
      <w:tabs>
        <w:tab w:val="center" w:pos="4320"/>
        <w:tab w:val="right" w:pos="8640"/>
      </w:tabs>
    </w:pPr>
  </w:style>
  <w:style w:type="paragraph" w:styleId="BalloonText">
    <w:name w:val="Balloon Text"/>
    <w:basedOn w:val="Normal"/>
    <w:semiHidden/>
    <w:rsid w:val="00724D96"/>
    <w:rPr>
      <w:rFonts w:ascii="Tahoma" w:hAnsi="Tahoma" w:cs="Tahoma"/>
      <w:sz w:val="16"/>
      <w:szCs w:val="16"/>
    </w:rPr>
  </w:style>
  <w:style w:type="paragraph" w:customStyle="1" w:styleId="CharCharCharChar2">
    <w:name w:val="Char Char Char Char2"/>
    <w:basedOn w:val="Normal"/>
    <w:locked/>
    <w:rsid w:val="0091239D"/>
    <w:pPr>
      <w:spacing w:after="160" w:line="240" w:lineRule="exact"/>
    </w:pPr>
    <w:rPr>
      <w:rFonts w:ascii="Verdana" w:eastAsia="MS ??" w:hAnsi="Verdana" w:cs="Verdana"/>
      <w:sz w:val="20"/>
      <w:lang w:val="en-US"/>
    </w:rPr>
  </w:style>
  <w:style w:type="paragraph" w:customStyle="1" w:styleId="CharCharCharChar">
    <w:name w:val="Char Char Char Char"/>
    <w:basedOn w:val="Normal"/>
    <w:locked/>
    <w:rsid w:val="00BB0863"/>
    <w:pPr>
      <w:spacing w:after="160" w:line="240" w:lineRule="exact"/>
    </w:pPr>
    <w:rPr>
      <w:rFonts w:ascii="Verdana" w:hAnsi="Verdana"/>
      <w:sz w:val="20"/>
      <w:lang w:val="en-US"/>
    </w:rPr>
  </w:style>
  <w:style w:type="paragraph" w:styleId="FootnoteText">
    <w:name w:val="footnote text"/>
    <w:basedOn w:val="Normal"/>
    <w:semiHidden/>
    <w:rsid w:val="009404BD"/>
    <w:rPr>
      <w:rFonts w:ascii="Times New Roman" w:hAnsi="Times New Roman"/>
      <w:sz w:val="20"/>
    </w:rPr>
  </w:style>
  <w:style w:type="paragraph" w:styleId="NormalWeb">
    <w:name w:val="Normal (Web)"/>
    <w:basedOn w:val="Normal"/>
    <w:semiHidden/>
    <w:rsid w:val="009404BD"/>
    <w:pPr>
      <w:spacing w:before="100" w:beforeAutospacing="1" w:after="300"/>
    </w:pPr>
    <w:rPr>
      <w:rFonts w:ascii="Times New Roman" w:eastAsia="Calibri" w:hAnsi="Times New Roman"/>
      <w:szCs w:val="24"/>
      <w:lang w:val="en-US"/>
    </w:rPr>
  </w:style>
  <w:style w:type="table" w:styleId="TableGrid">
    <w:name w:val="Table Grid"/>
    <w:basedOn w:val="TableNormal"/>
    <w:rsid w:val="009404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2">
    <w:name w:val="Normal2"/>
    <w:rsid w:val="009404BD"/>
    <w:rPr>
      <w:rFonts w:ascii="Arial" w:hAnsi="Arial"/>
      <w:sz w:val="22"/>
      <w:lang w:val="en-US" w:eastAsia="en-US"/>
    </w:rPr>
  </w:style>
  <w:style w:type="paragraph" w:styleId="ListParagraph">
    <w:name w:val="List Paragraph"/>
    <w:basedOn w:val="Normal"/>
    <w:uiPriority w:val="34"/>
    <w:qFormat/>
    <w:rsid w:val="002268CA"/>
    <w:pPr>
      <w:ind w:left="720"/>
    </w:pPr>
  </w:style>
  <w:style w:type="character" w:styleId="Strong">
    <w:name w:val="Strong"/>
    <w:uiPriority w:val="22"/>
    <w:qFormat/>
    <w:rsid w:val="002268CA"/>
    <w:rPr>
      <w:b/>
      <w:bCs/>
    </w:rPr>
  </w:style>
  <w:style w:type="character" w:styleId="FollowedHyperlink">
    <w:name w:val="FollowedHyperlink"/>
    <w:rsid w:val="00CE20D2"/>
    <w:rPr>
      <w:color w:val="800080"/>
      <w:u w:val="single"/>
    </w:rPr>
  </w:style>
  <w:style w:type="paragraph" w:customStyle="1" w:styleId="CharChar1Char">
    <w:name w:val="Char Char1 Char"/>
    <w:basedOn w:val="Normal"/>
    <w:rsid w:val="00345B33"/>
    <w:pPr>
      <w:spacing w:after="160" w:line="240" w:lineRule="exact"/>
    </w:pPr>
    <w:rPr>
      <w:rFonts w:ascii="Tahoma" w:hAnsi="Tahoma"/>
      <w:sz w:val="20"/>
      <w:lang w:eastAsia="en-GB"/>
    </w:rPr>
  </w:style>
  <w:style w:type="paragraph" w:customStyle="1" w:styleId="CharCharCharCharCharCharCharChar0">
    <w:name w:val="Char Char Char Char Char Char Char Char"/>
    <w:basedOn w:val="Normal"/>
    <w:rsid w:val="0023646B"/>
    <w:pPr>
      <w:spacing w:after="160" w:line="240" w:lineRule="exact"/>
    </w:pPr>
    <w:rPr>
      <w:rFonts w:ascii="Tahoma" w:hAnsi="Tahoma"/>
      <w:sz w:val="20"/>
      <w:lang w:eastAsia="en-GB"/>
    </w:rPr>
  </w:style>
  <w:style w:type="paragraph" w:customStyle="1" w:styleId="Default">
    <w:name w:val="Default"/>
    <w:rsid w:val="0058705B"/>
    <w:pPr>
      <w:autoSpaceDE w:val="0"/>
      <w:autoSpaceDN w:val="0"/>
      <w:adjustRightInd w:val="0"/>
    </w:pPr>
    <w:rPr>
      <w:rFonts w:ascii="Arial" w:eastAsia="Calibri" w:hAnsi="Arial" w:cs="Arial"/>
      <w:color w:val="000000"/>
      <w:sz w:val="24"/>
      <w:szCs w:val="24"/>
    </w:rPr>
  </w:style>
  <w:style w:type="character" w:styleId="CommentReference">
    <w:name w:val="annotation reference"/>
    <w:basedOn w:val="DefaultParagraphFont"/>
    <w:rsid w:val="00E94950"/>
    <w:rPr>
      <w:sz w:val="16"/>
      <w:szCs w:val="16"/>
    </w:rPr>
  </w:style>
  <w:style w:type="paragraph" w:styleId="CommentText">
    <w:name w:val="annotation text"/>
    <w:basedOn w:val="Normal"/>
    <w:link w:val="CommentTextChar"/>
    <w:rsid w:val="00E94950"/>
    <w:rPr>
      <w:sz w:val="20"/>
    </w:rPr>
  </w:style>
  <w:style w:type="character" w:customStyle="1" w:styleId="CommentTextChar">
    <w:name w:val="Comment Text Char"/>
    <w:basedOn w:val="DefaultParagraphFont"/>
    <w:link w:val="CommentText"/>
    <w:rsid w:val="00E94950"/>
    <w:rPr>
      <w:rFonts w:ascii="Arial" w:hAnsi="Arial"/>
      <w:lang w:eastAsia="en-US"/>
    </w:rPr>
  </w:style>
  <w:style w:type="paragraph" w:styleId="CommentSubject">
    <w:name w:val="annotation subject"/>
    <w:basedOn w:val="CommentText"/>
    <w:next w:val="CommentText"/>
    <w:link w:val="CommentSubjectChar"/>
    <w:rsid w:val="00E94950"/>
    <w:rPr>
      <w:b/>
      <w:bCs/>
    </w:rPr>
  </w:style>
  <w:style w:type="character" w:customStyle="1" w:styleId="CommentSubjectChar">
    <w:name w:val="Comment Subject Char"/>
    <w:basedOn w:val="CommentTextChar"/>
    <w:link w:val="CommentSubject"/>
    <w:rsid w:val="00E94950"/>
    <w:rPr>
      <w:rFonts w:ascii="Arial" w:hAnsi="Arial"/>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71F05"/>
    <w:rPr>
      <w:rFonts w:ascii="Arial" w:hAnsi="Arial"/>
      <w:sz w:val="24"/>
      <w:lang w:eastAsia="en-US"/>
    </w:rPr>
  </w:style>
  <w:style w:type="paragraph" w:styleId="Heading1">
    <w:name w:val="heading 1"/>
    <w:basedOn w:val="Heading2"/>
    <w:next w:val="Normal"/>
    <w:qFormat/>
    <w:rsid w:val="00A71F05"/>
    <w:pPr>
      <w:outlineLvl w:val="0"/>
    </w:pPr>
    <w:rPr>
      <w:rFonts w:ascii="Arial Black" w:hAnsi="Arial Black"/>
      <w:b w:val="0"/>
      <w:sz w:val="32"/>
    </w:rPr>
  </w:style>
  <w:style w:type="paragraph" w:styleId="Heading2">
    <w:name w:val="heading 2"/>
    <w:basedOn w:val="Normal"/>
    <w:next w:val="Normal"/>
    <w:qFormat/>
    <w:rsid w:val="00A71F05"/>
    <w:pPr>
      <w:outlineLvl w:val="1"/>
    </w:pPr>
    <w:rPr>
      <w:rFonts w:cs="Arial"/>
      <w:b/>
      <w:bCs/>
      <w:sz w:val="28"/>
      <w:szCs w:val="32"/>
    </w:rPr>
  </w:style>
  <w:style w:type="paragraph" w:styleId="Heading3">
    <w:name w:val="heading 3"/>
    <w:basedOn w:val="Normal"/>
    <w:next w:val="Normal"/>
    <w:qFormat/>
    <w:rsid w:val="00A71F05"/>
    <w:pPr>
      <w:ind w:left="720" w:hanging="720"/>
      <w:jc w:val="both"/>
      <w:outlineLvl w:val="2"/>
    </w:pPr>
    <w:rPr>
      <w:rFonts w:cs="Arial"/>
      <w:b/>
      <w:bCs/>
      <w:i/>
      <w:szCs w:val="28"/>
    </w:rPr>
  </w:style>
  <w:style w:type="paragraph" w:styleId="Heading4">
    <w:name w:val="heading 4"/>
    <w:basedOn w:val="Normal"/>
    <w:next w:val="Normal"/>
    <w:qFormat/>
    <w:rsid w:val="00A71F05"/>
    <w:pPr>
      <w:keepNext/>
      <w:outlineLvl w:val="3"/>
    </w:pPr>
    <w:rPr>
      <w:rFonts w:cs="Arial"/>
      <w:b/>
    </w:rPr>
  </w:style>
  <w:style w:type="paragraph" w:styleId="Heading8">
    <w:name w:val="heading 8"/>
    <w:basedOn w:val="Normal"/>
    <w:next w:val="Normal"/>
    <w:qFormat/>
    <w:rsid w:val="00A71F05"/>
    <w:pPr>
      <w:spacing w:before="240" w:after="60"/>
      <w:outlineLvl w:val="7"/>
    </w:pPr>
    <w:rPr>
      <w:rFonts w:ascii="Times New Roman" w:hAnsi="Times New Roman"/>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A71F05"/>
    <w:pPr>
      <w:tabs>
        <w:tab w:val="center" w:pos="4153"/>
        <w:tab w:val="right" w:pos="8306"/>
      </w:tabs>
    </w:pPr>
    <w:rPr>
      <w:szCs w:val="24"/>
      <w:lang w:val="en-US"/>
    </w:rPr>
  </w:style>
  <w:style w:type="paragraph" w:customStyle="1" w:styleId="Infotext">
    <w:name w:val="Info text"/>
    <w:basedOn w:val="Normal"/>
    <w:rsid w:val="00A71F05"/>
    <w:rPr>
      <w:sz w:val="28"/>
    </w:rPr>
  </w:style>
  <w:style w:type="character" w:styleId="FootnoteReference">
    <w:name w:val="footnote reference"/>
    <w:semiHidden/>
    <w:rsid w:val="00A71F05"/>
    <w:rPr>
      <w:vertAlign w:val="superscript"/>
    </w:rPr>
  </w:style>
  <w:style w:type="paragraph" w:customStyle="1" w:styleId="CharCharCharCharCharCharCharChar">
    <w:name w:val="Char Char Char Char Char Char Char Char"/>
    <w:basedOn w:val="Normal"/>
    <w:rsid w:val="00A71F05"/>
    <w:pPr>
      <w:spacing w:after="160" w:line="240" w:lineRule="exact"/>
    </w:pPr>
    <w:rPr>
      <w:rFonts w:ascii="Tahoma" w:hAnsi="Tahoma"/>
      <w:sz w:val="20"/>
      <w:lang w:eastAsia="en-GB"/>
    </w:rPr>
  </w:style>
  <w:style w:type="character" w:styleId="Hyperlink">
    <w:name w:val="Hyperlink"/>
    <w:rsid w:val="00A71F05"/>
    <w:rPr>
      <w:color w:val="0000FF"/>
      <w:u w:val="single"/>
    </w:rPr>
  </w:style>
  <w:style w:type="character" w:styleId="PageNumber">
    <w:name w:val="page number"/>
    <w:basedOn w:val="DefaultParagraphFont"/>
    <w:rsid w:val="00A71F05"/>
  </w:style>
  <w:style w:type="paragraph" w:styleId="Header">
    <w:name w:val="header"/>
    <w:basedOn w:val="Normal"/>
    <w:rsid w:val="001A47EC"/>
    <w:pPr>
      <w:tabs>
        <w:tab w:val="center" w:pos="4320"/>
        <w:tab w:val="right" w:pos="8640"/>
      </w:tabs>
    </w:pPr>
  </w:style>
  <w:style w:type="paragraph" w:styleId="BalloonText">
    <w:name w:val="Balloon Text"/>
    <w:basedOn w:val="Normal"/>
    <w:semiHidden/>
    <w:rsid w:val="00724D96"/>
    <w:rPr>
      <w:rFonts w:ascii="Tahoma" w:hAnsi="Tahoma" w:cs="Tahoma"/>
      <w:sz w:val="16"/>
      <w:szCs w:val="16"/>
    </w:rPr>
  </w:style>
  <w:style w:type="paragraph" w:customStyle="1" w:styleId="CharCharCharChar2">
    <w:name w:val="Char Char Char Char2"/>
    <w:basedOn w:val="Normal"/>
    <w:locked/>
    <w:rsid w:val="0091239D"/>
    <w:pPr>
      <w:spacing w:after="160" w:line="240" w:lineRule="exact"/>
    </w:pPr>
    <w:rPr>
      <w:rFonts w:ascii="Verdana" w:eastAsia="MS ??" w:hAnsi="Verdana" w:cs="Verdana"/>
      <w:sz w:val="20"/>
      <w:lang w:val="en-US"/>
    </w:rPr>
  </w:style>
  <w:style w:type="paragraph" w:customStyle="1" w:styleId="CharCharCharChar">
    <w:name w:val="Char Char Char Char"/>
    <w:basedOn w:val="Normal"/>
    <w:locked/>
    <w:rsid w:val="00BB0863"/>
    <w:pPr>
      <w:spacing w:after="160" w:line="240" w:lineRule="exact"/>
    </w:pPr>
    <w:rPr>
      <w:rFonts w:ascii="Verdana" w:hAnsi="Verdana"/>
      <w:sz w:val="20"/>
      <w:lang w:val="en-US"/>
    </w:rPr>
  </w:style>
  <w:style w:type="paragraph" w:styleId="FootnoteText">
    <w:name w:val="footnote text"/>
    <w:basedOn w:val="Normal"/>
    <w:semiHidden/>
    <w:rsid w:val="009404BD"/>
    <w:rPr>
      <w:rFonts w:ascii="Times New Roman" w:hAnsi="Times New Roman"/>
      <w:sz w:val="20"/>
    </w:rPr>
  </w:style>
  <w:style w:type="paragraph" w:styleId="NormalWeb">
    <w:name w:val="Normal (Web)"/>
    <w:basedOn w:val="Normal"/>
    <w:semiHidden/>
    <w:rsid w:val="009404BD"/>
    <w:pPr>
      <w:spacing w:before="100" w:beforeAutospacing="1" w:after="300"/>
    </w:pPr>
    <w:rPr>
      <w:rFonts w:ascii="Times New Roman" w:eastAsia="Calibri" w:hAnsi="Times New Roman"/>
      <w:szCs w:val="24"/>
      <w:lang w:val="en-US"/>
    </w:rPr>
  </w:style>
  <w:style w:type="table" w:styleId="TableGrid">
    <w:name w:val="Table Grid"/>
    <w:basedOn w:val="TableNormal"/>
    <w:rsid w:val="009404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2">
    <w:name w:val="Normal2"/>
    <w:rsid w:val="009404BD"/>
    <w:rPr>
      <w:rFonts w:ascii="Arial" w:hAnsi="Arial"/>
      <w:sz w:val="22"/>
      <w:lang w:val="en-US" w:eastAsia="en-US"/>
    </w:rPr>
  </w:style>
  <w:style w:type="paragraph" w:styleId="ListParagraph">
    <w:name w:val="List Paragraph"/>
    <w:basedOn w:val="Normal"/>
    <w:uiPriority w:val="34"/>
    <w:qFormat/>
    <w:rsid w:val="002268CA"/>
    <w:pPr>
      <w:ind w:left="720"/>
    </w:pPr>
  </w:style>
  <w:style w:type="character" w:styleId="Strong">
    <w:name w:val="Strong"/>
    <w:uiPriority w:val="22"/>
    <w:qFormat/>
    <w:rsid w:val="002268CA"/>
    <w:rPr>
      <w:b/>
      <w:bCs/>
    </w:rPr>
  </w:style>
  <w:style w:type="character" w:styleId="FollowedHyperlink">
    <w:name w:val="FollowedHyperlink"/>
    <w:rsid w:val="00CE20D2"/>
    <w:rPr>
      <w:color w:val="800080"/>
      <w:u w:val="single"/>
    </w:rPr>
  </w:style>
  <w:style w:type="paragraph" w:customStyle="1" w:styleId="CharChar1Char">
    <w:name w:val="Char Char1 Char"/>
    <w:basedOn w:val="Normal"/>
    <w:rsid w:val="00345B33"/>
    <w:pPr>
      <w:spacing w:after="160" w:line="240" w:lineRule="exact"/>
    </w:pPr>
    <w:rPr>
      <w:rFonts w:ascii="Tahoma" w:hAnsi="Tahoma"/>
      <w:sz w:val="20"/>
      <w:lang w:eastAsia="en-GB"/>
    </w:rPr>
  </w:style>
  <w:style w:type="paragraph" w:customStyle="1" w:styleId="CharCharCharCharCharCharCharChar0">
    <w:name w:val="Char Char Char Char Char Char Char Char"/>
    <w:basedOn w:val="Normal"/>
    <w:rsid w:val="0023646B"/>
    <w:pPr>
      <w:spacing w:after="160" w:line="240" w:lineRule="exact"/>
    </w:pPr>
    <w:rPr>
      <w:rFonts w:ascii="Tahoma" w:hAnsi="Tahoma"/>
      <w:sz w:val="20"/>
      <w:lang w:eastAsia="en-GB"/>
    </w:rPr>
  </w:style>
  <w:style w:type="paragraph" w:customStyle="1" w:styleId="Default">
    <w:name w:val="Default"/>
    <w:rsid w:val="0058705B"/>
    <w:pPr>
      <w:autoSpaceDE w:val="0"/>
      <w:autoSpaceDN w:val="0"/>
      <w:adjustRightInd w:val="0"/>
    </w:pPr>
    <w:rPr>
      <w:rFonts w:ascii="Arial" w:eastAsia="Calibri" w:hAnsi="Arial" w:cs="Arial"/>
      <w:color w:val="000000"/>
      <w:sz w:val="24"/>
      <w:szCs w:val="24"/>
    </w:rPr>
  </w:style>
  <w:style w:type="character" w:styleId="CommentReference">
    <w:name w:val="annotation reference"/>
    <w:basedOn w:val="DefaultParagraphFont"/>
    <w:rsid w:val="00E94950"/>
    <w:rPr>
      <w:sz w:val="16"/>
      <w:szCs w:val="16"/>
    </w:rPr>
  </w:style>
  <w:style w:type="paragraph" w:styleId="CommentText">
    <w:name w:val="annotation text"/>
    <w:basedOn w:val="Normal"/>
    <w:link w:val="CommentTextChar"/>
    <w:rsid w:val="00E94950"/>
    <w:rPr>
      <w:sz w:val="20"/>
    </w:rPr>
  </w:style>
  <w:style w:type="character" w:customStyle="1" w:styleId="CommentTextChar">
    <w:name w:val="Comment Text Char"/>
    <w:basedOn w:val="DefaultParagraphFont"/>
    <w:link w:val="CommentText"/>
    <w:rsid w:val="00E94950"/>
    <w:rPr>
      <w:rFonts w:ascii="Arial" w:hAnsi="Arial"/>
      <w:lang w:eastAsia="en-US"/>
    </w:rPr>
  </w:style>
  <w:style w:type="paragraph" w:styleId="CommentSubject">
    <w:name w:val="annotation subject"/>
    <w:basedOn w:val="CommentText"/>
    <w:next w:val="CommentText"/>
    <w:link w:val="CommentSubjectChar"/>
    <w:rsid w:val="00E94950"/>
    <w:rPr>
      <w:b/>
      <w:bCs/>
    </w:rPr>
  </w:style>
  <w:style w:type="character" w:customStyle="1" w:styleId="CommentSubjectChar">
    <w:name w:val="Comment Subject Char"/>
    <w:basedOn w:val="CommentTextChar"/>
    <w:link w:val="CommentSubject"/>
    <w:rsid w:val="00E94950"/>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3325416">
      <w:bodyDiv w:val="1"/>
      <w:marLeft w:val="0"/>
      <w:marRight w:val="0"/>
      <w:marTop w:val="0"/>
      <w:marBottom w:val="0"/>
      <w:divBdr>
        <w:top w:val="none" w:sz="0" w:space="0" w:color="auto"/>
        <w:left w:val="none" w:sz="0" w:space="0" w:color="auto"/>
        <w:bottom w:val="none" w:sz="0" w:space="0" w:color="auto"/>
        <w:right w:val="none" w:sz="0" w:space="0" w:color="auto"/>
      </w:divBdr>
    </w:div>
    <w:div w:id="1568374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10</Pages>
  <Words>2661</Words>
  <Characters>15171</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TEMPLATE TO BE USED FOR KEY DECISION ONLY TO BE TAKEN BY THE LEADER</vt:lpstr>
    </vt:vector>
  </TitlesOfParts>
  <Company>Harrow Council</Company>
  <LinksUpToDate>false</LinksUpToDate>
  <CharactersWithSpaces>17797</CharactersWithSpaces>
  <SharedDoc>false</SharedDoc>
  <HLinks>
    <vt:vector size="48" baseType="variant">
      <vt:variant>
        <vt:i4>3211339</vt:i4>
      </vt:variant>
      <vt:variant>
        <vt:i4>21</vt:i4>
      </vt:variant>
      <vt:variant>
        <vt:i4>0</vt:i4>
      </vt:variant>
      <vt:variant>
        <vt:i4>5</vt:i4>
      </vt:variant>
      <vt:variant>
        <vt:lpwstr>https://harrowhub.harrow.gov.uk/downloads/file/9714/committee_report_templates_-_implications_guidance</vt:lpwstr>
      </vt:variant>
      <vt:variant>
        <vt:lpwstr/>
      </vt:variant>
      <vt:variant>
        <vt:i4>3211339</vt:i4>
      </vt:variant>
      <vt:variant>
        <vt:i4>18</vt:i4>
      </vt:variant>
      <vt:variant>
        <vt:i4>0</vt:i4>
      </vt:variant>
      <vt:variant>
        <vt:i4>5</vt:i4>
      </vt:variant>
      <vt:variant>
        <vt:lpwstr>https://harrowhub.harrow.gov.uk/downloads/file/9714/committee_report_templates_-_implications_guidance</vt:lpwstr>
      </vt:variant>
      <vt:variant>
        <vt:lpwstr/>
      </vt:variant>
      <vt:variant>
        <vt:i4>3211339</vt:i4>
      </vt:variant>
      <vt:variant>
        <vt:i4>15</vt:i4>
      </vt:variant>
      <vt:variant>
        <vt:i4>0</vt:i4>
      </vt:variant>
      <vt:variant>
        <vt:i4>5</vt:i4>
      </vt:variant>
      <vt:variant>
        <vt:lpwstr>https://harrowhub.harrow.gov.uk/downloads/file/9714/committee_report_templates_-_implications_guidance</vt:lpwstr>
      </vt:variant>
      <vt:variant>
        <vt:lpwstr/>
      </vt:variant>
      <vt:variant>
        <vt:i4>3211339</vt:i4>
      </vt:variant>
      <vt:variant>
        <vt:i4>12</vt:i4>
      </vt:variant>
      <vt:variant>
        <vt:i4>0</vt:i4>
      </vt:variant>
      <vt:variant>
        <vt:i4>5</vt:i4>
      </vt:variant>
      <vt:variant>
        <vt:lpwstr>https://harrowhub.harrow.gov.uk/downloads/file/9714/committee_report_templates_-_implications_guidance</vt:lpwstr>
      </vt:variant>
      <vt:variant>
        <vt:lpwstr/>
      </vt:variant>
      <vt:variant>
        <vt:i4>3211339</vt:i4>
      </vt:variant>
      <vt:variant>
        <vt:i4>9</vt:i4>
      </vt:variant>
      <vt:variant>
        <vt:i4>0</vt:i4>
      </vt:variant>
      <vt:variant>
        <vt:i4>5</vt:i4>
      </vt:variant>
      <vt:variant>
        <vt:lpwstr>https://harrowhub.harrow.gov.uk/downloads/file/9714/committee_report_templates_-_implications_guidance</vt:lpwstr>
      </vt:variant>
      <vt:variant>
        <vt:lpwstr/>
      </vt:variant>
      <vt:variant>
        <vt:i4>1376256</vt:i4>
      </vt:variant>
      <vt:variant>
        <vt:i4>6</vt:i4>
      </vt:variant>
      <vt:variant>
        <vt:i4>0</vt:i4>
      </vt:variant>
      <vt:variant>
        <vt:i4>5</vt:i4>
      </vt:variant>
      <vt:variant>
        <vt:lpwstr>https://harrowhub.harrow.gov.uk/downloads/file/9180/confirmation_of_report_urgency_for_ph_report</vt:lpwstr>
      </vt:variant>
      <vt:variant>
        <vt:lpwstr/>
      </vt:variant>
      <vt:variant>
        <vt:i4>6160451</vt:i4>
      </vt:variant>
      <vt:variant>
        <vt:i4>3</vt:i4>
      </vt:variant>
      <vt:variant>
        <vt:i4>0</vt:i4>
      </vt:variant>
      <vt:variant>
        <vt:i4>5</vt:i4>
      </vt:variant>
      <vt:variant>
        <vt:lpwstr>http://moderngov/documents/s153716/031 Part 4D Executive Procedure Rules.pdf</vt:lpwstr>
      </vt:variant>
      <vt:variant>
        <vt:lpwstr/>
      </vt:variant>
      <vt:variant>
        <vt:i4>3014742</vt:i4>
      </vt:variant>
      <vt:variant>
        <vt:i4>0</vt:i4>
      </vt:variant>
      <vt:variant>
        <vt:i4>0</vt:i4>
      </vt:variant>
      <vt:variant>
        <vt:i4>5</vt:i4>
      </vt:variant>
      <vt:variant>
        <vt:lpwstr>http://harrowhub/downloads/file/5271/key_decisions_schedule_proforma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TO BE USED FOR KEY DECISION ONLY TO BE TAKEN BY THE LEADER</dc:title>
  <dc:creator>DGhelani</dc:creator>
  <cp:lastModifiedBy>Alison Atherton</cp:lastModifiedBy>
  <cp:revision>5</cp:revision>
  <cp:lastPrinted>2014-11-11T15:12:00Z</cp:lastPrinted>
  <dcterms:created xsi:type="dcterms:W3CDTF">2020-05-06T10:28:00Z</dcterms:created>
  <dcterms:modified xsi:type="dcterms:W3CDTF">2020-05-11T12:53:00Z</dcterms:modified>
</cp:coreProperties>
</file>